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7200A7" w:rsidRDefault="00103315"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801FC0" w:rsidTr="00506F9B">
        <w:tc>
          <w:tcPr>
            <w:tcW w:w="5353" w:type="dxa"/>
          </w:tcPr>
          <w:p w:rsidR="00197BA3" w:rsidRPr="007200A7" w:rsidRDefault="00103315"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302DFD" w:rsidP="00506F9B">
            <w:pPr>
              <w:rPr>
                <w:rFonts w:ascii="Verdana" w:hAnsi="Verdana"/>
                <w:b/>
                <w:bCs/>
                <w:iCs/>
                <w:color w:val="183850" w:themeColor="text1"/>
                <w:sz w:val="28"/>
              </w:rPr>
            </w:pPr>
          </w:p>
        </w:tc>
      </w:tr>
      <w:tr w:rsidR="00801FC0" w:rsidTr="00506F9B">
        <w:tc>
          <w:tcPr>
            <w:tcW w:w="9781" w:type="dxa"/>
            <w:gridSpan w:val="2"/>
          </w:tcPr>
          <w:p w:rsidR="00197BA3" w:rsidRPr="007200A7" w:rsidRDefault="00302DFD" w:rsidP="00506F9B">
            <w:pPr>
              <w:rPr>
                <w:rFonts w:ascii="Verdana" w:hAnsi="Verdana"/>
                <w:b/>
                <w:bCs/>
                <w:iCs/>
                <w:color w:val="183850" w:themeColor="text1"/>
                <w:sz w:val="24"/>
              </w:rPr>
            </w:pPr>
          </w:p>
        </w:tc>
      </w:tr>
      <w:tr w:rsidR="00801FC0" w:rsidTr="00506F9B">
        <w:tc>
          <w:tcPr>
            <w:tcW w:w="5353" w:type="dxa"/>
          </w:tcPr>
          <w:p w:rsidR="00197BA3" w:rsidRPr="007200A7" w:rsidRDefault="00103315"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103315"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1 December</w:t>
            </w:r>
            <w:r w:rsidRPr="007200A7">
              <w:rPr>
                <w:rFonts w:ascii="Verdana" w:hAnsi="Verdana"/>
                <w:b/>
                <w:bCs/>
                <w:iCs/>
                <w:color w:val="183850" w:themeColor="text1"/>
                <w:sz w:val="24"/>
              </w:rPr>
              <w:t xml:space="preserve"> 2017</w:t>
            </w:r>
          </w:p>
        </w:tc>
      </w:tr>
      <w:tr w:rsidR="00801FC0" w:rsidTr="00506F9B">
        <w:tc>
          <w:tcPr>
            <w:tcW w:w="5353" w:type="dxa"/>
          </w:tcPr>
          <w:p w:rsidR="00197BA3" w:rsidRPr="007200A7" w:rsidRDefault="00103315"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103315" w:rsidP="00103315">
            <w:pPr>
              <w:jc w:val="right"/>
              <w:rPr>
                <w:rFonts w:ascii="Verdana" w:hAnsi="Verdana"/>
                <w:b/>
                <w:bCs/>
                <w:iCs/>
                <w:color w:val="183850" w:themeColor="text1"/>
                <w:sz w:val="24"/>
                <w:szCs w:val="24"/>
              </w:rPr>
            </w:pPr>
            <w:r w:rsidRPr="007200A7">
              <w:rPr>
                <w:rFonts w:ascii="Verdana" w:hAnsi="Verdana"/>
                <w:b/>
                <w:bCs/>
                <w:iCs/>
                <w:color w:val="183850" w:themeColor="text1"/>
                <w:sz w:val="24"/>
                <w:szCs w:val="24"/>
              </w:rPr>
              <w:t xml:space="preserve"> Appendix A</w:t>
            </w:r>
          </w:p>
        </w:tc>
      </w:tr>
    </w:tbl>
    <w:p w:rsidR="00197BA3" w:rsidRPr="007200A7" w:rsidRDefault="00103315"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801FC0" w:rsidTr="00506F9B">
        <w:trPr>
          <w:trHeight w:val="461"/>
        </w:trPr>
        <w:tc>
          <w:tcPr>
            <w:tcW w:w="2523" w:type="dxa"/>
            <w:shd w:val="clear" w:color="auto" w:fill="F2F2F2" w:themeFill="background1" w:themeFillShade="F2"/>
          </w:tcPr>
          <w:p w:rsidR="00197BA3" w:rsidRPr="007200A7" w:rsidRDefault="00103315"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RDefault="00103315" w:rsidP="00506F9B">
            <w:pPr>
              <w:rPr>
                <w:rFonts w:ascii="Verdana" w:hAnsi="Verdana"/>
                <w:bCs/>
                <w:iCs/>
                <w:color w:val="183850" w:themeColor="text1"/>
                <w:sz w:val="20"/>
                <w:szCs w:val="20"/>
              </w:rPr>
            </w:pPr>
            <w:r w:rsidRPr="007200A7">
              <w:rPr>
                <w:rFonts w:ascii="Verdana" w:hAnsi="Verdana"/>
                <w:bCs/>
                <w:iCs/>
                <w:color w:val="183850" w:themeColor="text1"/>
                <w:sz w:val="20"/>
                <w:szCs w:val="20"/>
              </w:rPr>
              <w:t>Quarterly Report on Responsible Investment</w:t>
            </w:r>
            <w:r>
              <w:rPr>
                <w:rFonts w:ascii="Verdana" w:hAnsi="Verdana"/>
                <w:bCs/>
                <w:iCs/>
                <w:color w:val="183850" w:themeColor="text1"/>
                <w:sz w:val="20"/>
                <w:szCs w:val="20"/>
              </w:rPr>
              <w:t xml:space="preserve"> (2017 Q3)</w:t>
            </w:r>
          </w:p>
        </w:tc>
      </w:tr>
      <w:tr w:rsidR="00801FC0" w:rsidTr="00506F9B">
        <w:trPr>
          <w:trHeight w:val="632"/>
        </w:trPr>
        <w:tc>
          <w:tcPr>
            <w:tcW w:w="2523" w:type="dxa"/>
            <w:shd w:val="clear" w:color="auto" w:fill="F2F2F2" w:themeFill="background1" w:themeFillShade="F2"/>
          </w:tcPr>
          <w:p w:rsidR="00197BA3" w:rsidRPr="007200A7" w:rsidRDefault="00103315"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7200A7" w:rsidRDefault="00103315"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Frances Deakin </w:t>
            </w:r>
          </w:p>
          <w:p w:rsidR="00197BA3" w:rsidRPr="007200A7" w:rsidRDefault="00103315" w:rsidP="00506F9B">
            <w:pPr>
              <w:rPr>
                <w:rFonts w:ascii="Verdana" w:hAnsi="Verdana"/>
                <w:bCs/>
                <w:iCs/>
                <w:color w:val="183850" w:themeColor="text1"/>
                <w:sz w:val="20"/>
                <w:szCs w:val="20"/>
              </w:rPr>
            </w:pPr>
            <w:r w:rsidRPr="007200A7">
              <w:rPr>
                <w:rFonts w:ascii="Verdana" w:hAnsi="Verdana"/>
                <w:bCs/>
                <w:iCs/>
                <w:color w:val="183850" w:themeColor="text1"/>
                <w:sz w:val="20"/>
                <w:szCs w:val="20"/>
              </w:rPr>
              <w:t>Responsible Investment Manager</w:t>
            </w:r>
          </w:p>
          <w:p w:rsidR="00197BA3" w:rsidRPr="007200A7" w:rsidRDefault="00103315"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Local Pensions Partnership Investments Ltd </w:t>
            </w:r>
          </w:p>
          <w:p w:rsidR="00197BA3" w:rsidRPr="007200A7" w:rsidRDefault="00302DFD" w:rsidP="00506F9B">
            <w:pPr>
              <w:rPr>
                <w:rFonts w:ascii="Verdana" w:hAnsi="Verdana"/>
                <w:bCs/>
                <w:iCs/>
                <w:color w:val="183850" w:themeColor="text1"/>
                <w:sz w:val="20"/>
                <w:szCs w:val="20"/>
              </w:rPr>
            </w:pPr>
            <w:hyperlink r:id="rId8" w:history="1">
              <w:r w:rsidR="00103315" w:rsidRPr="007200A7">
                <w:rPr>
                  <w:rStyle w:val="Hyperlink"/>
                  <w:rFonts w:ascii="Verdana" w:hAnsi="Verdana"/>
                  <w:bCs/>
                  <w:iCs/>
                  <w:color w:val="183850" w:themeColor="text1"/>
                  <w:sz w:val="20"/>
                  <w:szCs w:val="20"/>
                </w:rPr>
                <w:t>frances.deakin@localpensionspartnership.org.uk</w:t>
              </w:r>
            </w:hyperlink>
          </w:p>
          <w:p w:rsidR="00197BA3" w:rsidRPr="007200A7" w:rsidRDefault="00302DFD" w:rsidP="00506F9B">
            <w:pPr>
              <w:rPr>
                <w:rFonts w:ascii="Verdana" w:hAnsi="Verdana"/>
                <w:bCs/>
                <w:iCs/>
                <w:color w:val="183850" w:themeColor="text1"/>
                <w:sz w:val="20"/>
                <w:szCs w:val="20"/>
              </w:rPr>
            </w:pPr>
          </w:p>
        </w:tc>
      </w:tr>
      <w:tr w:rsidR="00801FC0" w:rsidTr="00506F9B">
        <w:trPr>
          <w:trHeight w:val="456"/>
        </w:trPr>
        <w:tc>
          <w:tcPr>
            <w:tcW w:w="2523" w:type="dxa"/>
            <w:shd w:val="clear" w:color="auto" w:fill="F2F2F2" w:themeFill="background1" w:themeFillShade="F2"/>
          </w:tcPr>
          <w:p w:rsidR="00197BA3" w:rsidRPr="00610859" w:rsidRDefault="00103315"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302DFD" w:rsidRPr="00302DFD" w:rsidRDefault="00302DFD" w:rsidP="00302DFD">
            <w:pPr>
              <w:rPr>
                <w:rFonts w:ascii="Verdana" w:hAnsi="Verdana" w:cs="Arial"/>
                <w:b/>
                <w:bCs/>
                <w:color w:val="183850" w:themeColor="text1"/>
                <w:sz w:val="20"/>
                <w:szCs w:val="20"/>
              </w:rPr>
            </w:pPr>
            <w:r>
              <w:rPr>
                <w:rFonts w:ascii="Verdana" w:hAnsi="Verdana" w:cs="Arial"/>
                <w:bCs/>
                <w:color w:val="183850" w:themeColor="text1"/>
                <w:sz w:val="20"/>
                <w:szCs w:val="20"/>
              </w:rPr>
              <w:t>A</w:t>
            </w:r>
            <w:r w:rsidR="00103315" w:rsidRPr="00302DFD">
              <w:rPr>
                <w:rFonts w:ascii="Verdana" w:hAnsi="Verdana" w:cs="Arial"/>
                <w:bCs/>
                <w:color w:val="183850" w:themeColor="text1"/>
                <w:sz w:val="20"/>
                <w:szCs w:val="20"/>
              </w:rPr>
              <w:t xml:space="preserve">ppendix A1 - </w:t>
            </w:r>
            <w:r w:rsidRPr="00302DFD">
              <w:rPr>
                <w:rFonts w:ascii="Verdana" w:hAnsi="Verdana" w:cs="Arial"/>
                <w:bCs/>
                <w:color w:val="183850" w:themeColor="text1"/>
                <w:sz w:val="20"/>
                <w:szCs w:val="20"/>
              </w:rPr>
              <w:t>Climate Change Investment Policy Framework and Guidance</w:t>
            </w:r>
            <w:r w:rsidRPr="00302DFD">
              <w:rPr>
                <w:rFonts w:ascii="Verdana" w:hAnsi="Verdana" w:cs="Arial"/>
                <w:b/>
                <w:bCs/>
                <w:color w:val="183850" w:themeColor="text1"/>
                <w:sz w:val="20"/>
                <w:szCs w:val="20"/>
              </w:rPr>
              <w:t xml:space="preserve"> </w:t>
            </w:r>
          </w:p>
          <w:p w:rsidR="00497FA5" w:rsidRPr="00692968" w:rsidRDefault="00302DFD" w:rsidP="008B3A19">
            <w:pPr>
              <w:ind w:left="1338" w:hanging="1338"/>
              <w:rPr>
                <w:rFonts w:ascii="Verdana" w:hAnsi="Verdana"/>
                <w:bCs/>
                <w:sz w:val="20"/>
                <w:szCs w:val="20"/>
              </w:rPr>
            </w:pPr>
            <w:r>
              <w:rPr>
                <w:rFonts w:ascii="Verdana" w:hAnsi="Verdana"/>
                <w:bCs/>
                <w:sz w:val="20"/>
                <w:szCs w:val="20"/>
              </w:rPr>
              <w:t xml:space="preserve">Appendix A2 - </w:t>
            </w:r>
            <w:r w:rsidR="00103315" w:rsidRPr="0054100C">
              <w:rPr>
                <w:rFonts w:ascii="Verdana" w:hAnsi="Verdana"/>
                <w:bCs/>
                <w:sz w:val="20"/>
                <w:szCs w:val="20"/>
              </w:rPr>
              <w:t>LAPFF's Q3 2017 Engagement Report</w:t>
            </w:r>
          </w:p>
          <w:p w:rsidR="00497FA5" w:rsidRPr="00E02230" w:rsidRDefault="00103315" w:rsidP="00E02230">
            <w:pPr>
              <w:rPr>
                <w:rFonts w:ascii="Verdana" w:hAnsi="Verdana" w:cs="Arial"/>
                <w:color w:val="333333"/>
                <w:sz w:val="20"/>
                <w:szCs w:val="20"/>
                <w:lang w:val="en-US"/>
              </w:rPr>
            </w:pPr>
            <w:r w:rsidRPr="00692968">
              <w:rPr>
                <w:rFonts w:ascii="Verdana" w:hAnsi="Verdana"/>
                <w:bCs/>
                <w:sz w:val="20"/>
                <w:szCs w:val="20"/>
              </w:rPr>
              <w:t>Appendix A</w:t>
            </w:r>
            <w:r w:rsidR="00302DFD">
              <w:rPr>
                <w:rFonts w:ascii="Verdana" w:hAnsi="Verdana"/>
                <w:bCs/>
                <w:sz w:val="20"/>
                <w:szCs w:val="20"/>
              </w:rPr>
              <w:t>3</w:t>
            </w:r>
            <w:r w:rsidRPr="00692968">
              <w:rPr>
                <w:rFonts w:ascii="Verdana" w:hAnsi="Verdana"/>
                <w:bCs/>
                <w:sz w:val="20"/>
                <w:szCs w:val="20"/>
              </w:rPr>
              <w:t xml:space="preserve"> - </w:t>
            </w:r>
            <w:r w:rsidRPr="00E02230">
              <w:rPr>
                <w:rFonts w:ascii="Verdana" w:hAnsi="Verdana" w:cs="Arial"/>
                <w:color w:val="333333"/>
                <w:sz w:val="20"/>
                <w:szCs w:val="20"/>
                <w:lang w:val="en-US"/>
              </w:rPr>
              <w:t>Fuelling the Fire (LGPS Investments in Fossil Fuels)</w:t>
            </w:r>
          </w:p>
          <w:p w:rsidR="00497FA5" w:rsidRDefault="00103315" w:rsidP="00497FA5">
            <w:pPr>
              <w:ind w:left="1338" w:hanging="1338"/>
              <w:rPr>
                <w:rFonts w:ascii="Verdana" w:hAnsi="Verdana" w:cs="Arial"/>
                <w:bCs/>
                <w:color w:val="183850" w:themeColor="text1"/>
                <w:sz w:val="20"/>
                <w:szCs w:val="20"/>
              </w:rPr>
            </w:pPr>
            <w:r w:rsidRPr="00692968">
              <w:rPr>
                <w:rFonts w:ascii="Verdana" w:hAnsi="Verdana"/>
                <w:bCs/>
                <w:sz w:val="20"/>
                <w:szCs w:val="20"/>
              </w:rPr>
              <w:t>Appendix A</w:t>
            </w:r>
            <w:r w:rsidR="00302DFD">
              <w:rPr>
                <w:rFonts w:ascii="Verdana" w:hAnsi="Verdana"/>
                <w:bCs/>
                <w:sz w:val="20"/>
                <w:szCs w:val="20"/>
              </w:rPr>
              <w:t>4</w:t>
            </w:r>
            <w:r w:rsidRPr="00692968">
              <w:rPr>
                <w:rFonts w:ascii="Verdana" w:hAnsi="Verdana"/>
                <w:bCs/>
                <w:sz w:val="20"/>
                <w:szCs w:val="20"/>
              </w:rPr>
              <w:t xml:space="preserve"> - PRI – Outcome of 2017 Reporting Assessment</w:t>
            </w:r>
          </w:p>
          <w:p w:rsidR="00A8013C" w:rsidRPr="00610859" w:rsidRDefault="00302DFD" w:rsidP="008B3A19">
            <w:pPr>
              <w:ind w:left="1338" w:hanging="1338"/>
              <w:rPr>
                <w:rFonts w:ascii="Verdana" w:hAnsi="Verdana"/>
                <w:b/>
                <w:bCs/>
                <w:iCs/>
                <w:color w:val="183850" w:themeColor="text1"/>
                <w:sz w:val="20"/>
                <w:szCs w:val="20"/>
              </w:rPr>
            </w:pPr>
          </w:p>
        </w:tc>
      </w:tr>
    </w:tbl>
    <w:p w:rsidR="00B23C16" w:rsidRPr="007200A7" w:rsidRDefault="00302DFD" w:rsidP="00320885">
      <w:pPr>
        <w:spacing w:after="0" w:line="240" w:lineRule="auto"/>
        <w:rPr>
          <w:rFonts w:ascii="Verdana" w:hAnsi="Verdana" w:cs="Arial"/>
          <w:b/>
          <w:bCs/>
          <w:color w:val="183850" w:themeColor="text1"/>
          <w:sz w:val="20"/>
          <w:szCs w:val="20"/>
        </w:rPr>
      </w:pPr>
    </w:p>
    <w:p w:rsidR="00E04E31" w:rsidRDefault="0010331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RDefault="00302DFD" w:rsidP="003B4083">
      <w:pPr>
        <w:pStyle w:val="treb"/>
        <w:numPr>
          <w:ilvl w:val="0"/>
          <w:numId w:val="0"/>
        </w:numPr>
        <w:spacing w:after="0"/>
        <w:rPr>
          <w:rFonts w:ascii="Verdana" w:hAnsi="Verdana"/>
          <w:b w:val="0"/>
          <w:color w:val="183850" w:themeColor="text1"/>
          <w:sz w:val="20"/>
          <w:szCs w:val="20"/>
        </w:rPr>
      </w:pPr>
    </w:p>
    <w:p w:rsidR="00197BA3" w:rsidRPr="007200A7" w:rsidRDefault="00103315" w:rsidP="003B4083">
      <w:pPr>
        <w:pStyle w:val="treb"/>
        <w:numPr>
          <w:ilvl w:val="0"/>
          <w:numId w:val="0"/>
        </w:numPr>
        <w:spacing w:after="0"/>
        <w:rPr>
          <w:rFonts w:ascii="Verdana" w:hAnsi="Verdana"/>
          <w:b w:val="0"/>
          <w:color w:val="183850" w:themeColor="text1"/>
          <w:sz w:val="20"/>
          <w:szCs w:val="20"/>
        </w:rPr>
      </w:pPr>
      <w:r w:rsidRPr="007200A7">
        <w:rPr>
          <w:rFonts w:ascii="Verdana" w:hAnsi="Verdana"/>
          <w:b w:val="0"/>
          <w:color w:val="183850" w:themeColor="text1"/>
          <w:sz w:val="20"/>
          <w:szCs w:val="20"/>
        </w:rPr>
        <w:t>This report provides members of the Pension Fund Committee of Lancashire County Pension Fund (LCPF) with a quarterly update on Responsible Investment (RI) matters.</w:t>
      </w:r>
    </w:p>
    <w:p w:rsidR="00197BA3" w:rsidRPr="007200A7" w:rsidRDefault="00302DFD" w:rsidP="003B4083">
      <w:pPr>
        <w:pStyle w:val="treb"/>
        <w:numPr>
          <w:ilvl w:val="0"/>
          <w:numId w:val="0"/>
        </w:numPr>
        <w:spacing w:after="0"/>
        <w:rPr>
          <w:rFonts w:ascii="Verdana" w:hAnsi="Verdana"/>
          <w:b w:val="0"/>
          <w:color w:val="183850" w:themeColor="text1"/>
          <w:sz w:val="20"/>
          <w:szCs w:val="20"/>
        </w:rPr>
      </w:pPr>
    </w:p>
    <w:p w:rsidR="00320885" w:rsidRPr="008E62D7" w:rsidRDefault="0010331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Introduction</w:t>
      </w:r>
    </w:p>
    <w:p w:rsidR="00197BA3" w:rsidRPr="007200A7" w:rsidRDefault="00302DFD" w:rsidP="003B4083">
      <w:pPr>
        <w:autoSpaceDE w:val="0"/>
        <w:autoSpaceDN w:val="0"/>
        <w:adjustRightInd w:val="0"/>
        <w:spacing w:after="0"/>
        <w:jc w:val="both"/>
        <w:rPr>
          <w:rFonts w:ascii="Verdana" w:hAnsi="Verdana"/>
          <w:color w:val="183850" w:themeColor="text1"/>
          <w:sz w:val="20"/>
          <w:szCs w:val="20"/>
        </w:rPr>
      </w:pPr>
    </w:p>
    <w:p w:rsidR="00197BA3" w:rsidRDefault="00103315"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olor w:val="183850" w:themeColor="text1"/>
          <w:sz w:val="20"/>
          <w:szCs w:val="20"/>
        </w:rPr>
        <w:t xml:space="preserve">The Fund's approach to RI has been </w:t>
      </w:r>
      <w:r>
        <w:rPr>
          <w:rFonts w:ascii="Verdana" w:hAnsi="Verdana"/>
          <w:color w:val="183850" w:themeColor="text1"/>
          <w:sz w:val="20"/>
          <w:szCs w:val="20"/>
        </w:rPr>
        <w:t>articulated</w:t>
      </w:r>
      <w:r w:rsidRPr="007200A7">
        <w:rPr>
          <w:rFonts w:ascii="Verdana" w:hAnsi="Verdana"/>
          <w:color w:val="183850" w:themeColor="text1"/>
          <w:sz w:val="20"/>
          <w:szCs w:val="20"/>
        </w:rPr>
        <w:t xml:space="preserve"> within an Investment Strategy Statement which confirms that the objective of RI is to decrease investor risk, improve risk-adjusted returns and </w:t>
      </w:r>
      <w:r w:rsidRPr="007200A7">
        <w:rPr>
          <w:rFonts w:ascii="Verdana" w:hAnsi="Verdana" w:cs="TT3B97o00"/>
          <w:color w:val="183850" w:themeColor="text1"/>
          <w:sz w:val="20"/>
          <w:szCs w:val="20"/>
        </w:rPr>
        <w:t xml:space="preserve">assist the Fund's adherence to the UK Stewardship Code. </w:t>
      </w:r>
    </w:p>
    <w:p w:rsidR="00103315" w:rsidRPr="007200A7" w:rsidRDefault="00103315" w:rsidP="003B4083">
      <w:pPr>
        <w:autoSpaceDE w:val="0"/>
        <w:autoSpaceDN w:val="0"/>
        <w:adjustRightInd w:val="0"/>
        <w:spacing w:after="0"/>
        <w:jc w:val="both"/>
        <w:rPr>
          <w:rFonts w:ascii="Verdana" w:hAnsi="Verdana" w:cs="TT3BA2o00"/>
          <w:color w:val="183850" w:themeColor="text1"/>
          <w:sz w:val="20"/>
          <w:szCs w:val="20"/>
        </w:rPr>
      </w:pPr>
    </w:p>
    <w:p w:rsidR="00197BA3" w:rsidRPr="00601570" w:rsidRDefault="00103315"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s="TT3B97o00"/>
          <w:color w:val="183850" w:themeColor="text1"/>
          <w:sz w:val="20"/>
          <w:szCs w:val="20"/>
        </w:rPr>
        <w:t xml:space="preserve">The Fund's </w:t>
      </w:r>
      <w:r>
        <w:rPr>
          <w:rFonts w:ascii="Verdana" w:hAnsi="Verdana" w:cs="TT3B97o00"/>
          <w:color w:val="183850" w:themeColor="text1"/>
          <w:sz w:val="20"/>
          <w:szCs w:val="20"/>
        </w:rPr>
        <w:t xml:space="preserve">preferred </w:t>
      </w:r>
      <w:r w:rsidRPr="007200A7">
        <w:rPr>
          <w:rFonts w:ascii="Verdana" w:hAnsi="Verdana" w:cs="TT3B97o00"/>
          <w:color w:val="183850" w:themeColor="text1"/>
          <w:sz w:val="20"/>
          <w:szCs w:val="20"/>
        </w:rPr>
        <w:t>approach to RI encompasses four main areas of activity:</w:t>
      </w:r>
    </w:p>
    <w:p w:rsidR="00197BA3" w:rsidRPr="007200A7" w:rsidRDefault="0010331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Voting Globally</w:t>
      </w:r>
    </w:p>
    <w:p w:rsidR="00197BA3" w:rsidRPr="007200A7" w:rsidRDefault="0010331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Engagement through Partnerships</w:t>
      </w:r>
    </w:p>
    <w:p w:rsidR="00197BA3" w:rsidRPr="007200A7" w:rsidRDefault="0010331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Shareholder Litigation</w:t>
      </w:r>
    </w:p>
    <w:p w:rsidR="00197BA3" w:rsidRPr="007200A7" w:rsidRDefault="00103315"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Active Investing</w:t>
      </w:r>
    </w:p>
    <w:p w:rsidR="006403C0" w:rsidRPr="007200A7" w:rsidRDefault="00302DFD" w:rsidP="003B4083">
      <w:pPr>
        <w:autoSpaceDE w:val="0"/>
        <w:autoSpaceDN w:val="0"/>
        <w:adjustRightInd w:val="0"/>
        <w:spacing w:after="0"/>
        <w:jc w:val="both"/>
        <w:rPr>
          <w:rFonts w:ascii="Verdana" w:hAnsi="Verdana" w:cs="TT3B97o00"/>
          <w:color w:val="183850" w:themeColor="text1"/>
          <w:sz w:val="20"/>
          <w:szCs w:val="20"/>
        </w:rPr>
      </w:pPr>
    </w:p>
    <w:p w:rsidR="00197BA3" w:rsidRPr="00692968" w:rsidRDefault="00103315" w:rsidP="00692968">
      <w:pPr>
        <w:pStyle w:val="treb"/>
        <w:numPr>
          <w:ilvl w:val="0"/>
          <w:numId w:val="0"/>
        </w:numPr>
        <w:spacing w:after="0"/>
        <w:rPr>
          <w:rFonts w:ascii="Verdana" w:hAnsi="Verdana"/>
          <w:b w:val="0"/>
          <w:color w:val="183850" w:themeColor="text1"/>
          <w:sz w:val="20"/>
          <w:szCs w:val="20"/>
        </w:rPr>
      </w:pPr>
      <w:r w:rsidRPr="00692968">
        <w:rPr>
          <w:rFonts w:ascii="Verdana" w:hAnsi="Verdana"/>
          <w:b w:val="0"/>
          <w:color w:val="183850" w:themeColor="text1"/>
          <w:sz w:val="20"/>
          <w:szCs w:val="20"/>
        </w:rPr>
        <w:t xml:space="preserve">Responsibility for the practical implementation of the Fund's approach to RI is devolved to Local Pensions Partnership Investments Ltd (LPP I) as LCPF's provider of investment management services. The report which follows provides the committee with an update on RI activity during the period 1st July to 30th September 2017 plus insight on current and emerging issues. </w:t>
      </w:r>
    </w:p>
    <w:p w:rsidR="00F83B47" w:rsidRPr="007200A7" w:rsidRDefault="00302DFD"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103315"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302DFD" w:rsidP="003B4083">
      <w:pPr>
        <w:pStyle w:val="treb"/>
        <w:numPr>
          <w:ilvl w:val="0"/>
          <w:numId w:val="0"/>
        </w:numPr>
        <w:spacing w:after="0"/>
        <w:rPr>
          <w:rFonts w:ascii="Verdana" w:hAnsi="Verdana"/>
          <w:color w:val="183850" w:themeColor="text1"/>
          <w:sz w:val="20"/>
          <w:szCs w:val="20"/>
        </w:rPr>
      </w:pPr>
    </w:p>
    <w:p w:rsidR="00B7162D" w:rsidRPr="00692968" w:rsidRDefault="00103315"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Through its investment in the LPP I Global Equities Fund (GEF) LCPF owns units in a pooled fund which invests in listed companies globally. Investors in the GEF delegate the control and exercise of shareholder voting to LPP I as part of arrangements which </w:t>
      </w:r>
      <w:r w:rsidRPr="00692968">
        <w:rPr>
          <w:rFonts w:ascii="Verdana" w:hAnsi="Verdana" w:cs="Arial"/>
          <w:bCs/>
          <w:color w:val="183850" w:themeColor="text1"/>
          <w:sz w:val="20"/>
          <w:szCs w:val="20"/>
        </w:rPr>
        <w:lastRenderedPageBreak/>
        <w:t>accommodate a pooled fund structure and associated ownership arrangements. This</w:t>
      </w:r>
      <w:r w:rsidRPr="003B4083">
        <w:rPr>
          <w:rFonts w:ascii="Verdana" w:hAnsi="Verdana" w:cs="Arial"/>
          <w:color w:val="183850" w:themeColor="text1"/>
          <w:sz w:val="20"/>
          <w:szCs w:val="20"/>
        </w:rPr>
        <w:t xml:space="preserve"> </w:t>
      </w:r>
      <w:r w:rsidRPr="00692968">
        <w:rPr>
          <w:rFonts w:ascii="Verdana" w:hAnsi="Verdana" w:cs="Arial"/>
          <w:bCs/>
          <w:color w:val="183850" w:themeColor="text1"/>
          <w:sz w:val="20"/>
          <w:szCs w:val="20"/>
        </w:rPr>
        <w:t xml:space="preserve">reflects that clients who hold units in the GEF are beneficial owners in common but do not directly own underlying securities. </w:t>
      </w:r>
    </w:p>
    <w:p w:rsidR="00FC2A79" w:rsidRPr="00692968" w:rsidRDefault="00302DFD" w:rsidP="003B4083">
      <w:pPr>
        <w:autoSpaceDE w:val="0"/>
        <w:autoSpaceDN w:val="0"/>
        <w:adjustRightInd w:val="0"/>
        <w:spacing w:after="0"/>
        <w:rPr>
          <w:rFonts w:ascii="Verdana" w:hAnsi="Verdana" w:cs="Arial"/>
          <w:bCs/>
          <w:color w:val="183850" w:themeColor="text1"/>
          <w:sz w:val="20"/>
          <w:szCs w:val="20"/>
        </w:rPr>
      </w:pPr>
    </w:p>
    <w:p w:rsidR="0004532C" w:rsidRPr="00692968" w:rsidRDefault="00103315"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LPP I exercises shareholder voting rights for the GEF centrally rather than delegating voting to individual asset managers. Decisions are taken in line with protecting the collective best interests of client pension funds as institutional investors and take account of voting recommendations from an external provider of proxy voting and governance research. Institutional Shareholder Services (ISS) provide voting recommendations in line with applying a Sustainability Voting Policy designed to ensure the consideration of ESG factors within analysis. LPP I review voting recommendations and take the final decision on all voting.</w:t>
      </w:r>
    </w:p>
    <w:p w:rsidR="00197BA3" w:rsidRPr="00692968" w:rsidRDefault="00103315"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 </w:t>
      </w:r>
    </w:p>
    <w:p w:rsidR="009D783C" w:rsidRPr="008103F0" w:rsidRDefault="00103315" w:rsidP="00692968">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I</w:t>
      </w:r>
      <w:r w:rsidRPr="008103F0">
        <w:rPr>
          <w:rFonts w:ascii="Verdana" w:hAnsi="Verdana" w:cs="Arial"/>
          <w:bCs/>
          <w:color w:val="183850" w:themeColor="text1"/>
          <w:sz w:val="20"/>
          <w:szCs w:val="20"/>
        </w:rPr>
        <w:t xml:space="preserve">n the </w:t>
      </w:r>
      <w:r>
        <w:rPr>
          <w:rFonts w:ascii="Verdana" w:hAnsi="Verdana" w:cs="Arial"/>
          <w:bCs/>
          <w:color w:val="183850" w:themeColor="text1"/>
          <w:sz w:val="20"/>
          <w:szCs w:val="20"/>
        </w:rPr>
        <w:t>third</w:t>
      </w:r>
      <w:r w:rsidRPr="008103F0">
        <w:rPr>
          <w:rFonts w:ascii="Verdana" w:hAnsi="Verdana" w:cs="Arial"/>
          <w:bCs/>
          <w:color w:val="183850" w:themeColor="text1"/>
          <w:sz w:val="20"/>
          <w:szCs w:val="20"/>
        </w:rPr>
        <w:t xml:space="preserve"> quarter of 2017 </w:t>
      </w:r>
      <w:r>
        <w:rPr>
          <w:rFonts w:ascii="Verdana" w:hAnsi="Verdana" w:cs="Arial"/>
          <w:bCs/>
          <w:color w:val="183850" w:themeColor="text1"/>
          <w:sz w:val="20"/>
          <w:szCs w:val="20"/>
        </w:rPr>
        <w:t>shareholder v</w:t>
      </w:r>
      <w:r w:rsidRPr="008103F0">
        <w:rPr>
          <w:rFonts w:ascii="Verdana" w:hAnsi="Verdana" w:cs="Arial"/>
          <w:bCs/>
          <w:color w:val="183850" w:themeColor="text1"/>
          <w:sz w:val="20"/>
          <w:szCs w:val="20"/>
        </w:rPr>
        <w:t xml:space="preserve">oting headlines </w:t>
      </w:r>
      <w:r>
        <w:rPr>
          <w:rFonts w:ascii="Verdana" w:hAnsi="Verdana" w:cs="Arial"/>
          <w:bCs/>
          <w:color w:val="183850" w:themeColor="text1"/>
          <w:sz w:val="20"/>
          <w:szCs w:val="20"/>
        </w:rPr>
        <w:t xml:space="preserve">for the GEF </w:t>
      </w:r>
      <w:r w:rsidRPr="008103F0">
        <w:rPr>
          <w:rFonts w:ascii="Verdana" w:hAnsi="Verdana" w:cs="Arial"/>
          <w:bCs/>
          <w:color w:val="183850" w:themeColor="text1"/>
          <w:sz w:val="20"/>
          <w:szCs w:val="20"/>
        </w:rPr>
        <w:t>were as follows:</w:t>
      </w:r>
    </w:p>
    <w:tbl>
      <w:tblPr>
        <w:tblpPr w:leftFromText="180" w:rightFromText="180" w:vertAnchor="text" w:horzAnchor="margin" w:tblpY="17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0" w:type="dxa"/>
          <w:right w:w="0" w:type="dxa"/>
        </w:tblCellMar>
        <w:tblLook w:val="04A0" w:firstRow="1" w:lastRow="0" w:firstColumn="1" w:lastColumn="0" w:noHBand="0" w:noVBand="1"/>
      </w:tblPr>
      <w:tblGrid>
        <w:gridCol w:w="6702"/>
        <w:gridCol w:w="860"/>
        <w:gridCol w:w="655"/>
      </w:tblGrid>
      <w:tr w:rsidR="00801FC0" w:rsidTr="008015F8">
        <w:trPr>
          <w:trHeight w:val="255"/>
        </w:trPr>
        <w:tc>
          <w:tcPr>
            <w:tcW w:w="6702" w:type="dxa"/>
            <w:shd w:val="clear" w:color="000000" w:fill="FFFFFF" w:themeFill="background1"/>
            <w:noWrap/>
            <w:tcMar>
              <w:top w:w="15" w:type="dxa"/>
              <w:left w:w="15" w:type="dxa"/>
              <w:bottom w:w="0" w:type="dxa"/>
              <w:right w:w="15" w:type="dxa"/>
            </w:tcMar>
            <w:vAlign w:val="center"/>
            <w:hideMark/>
          </w:tcPr>
          <w:p w:rsidR="002D0980" w:rsidRPr="008103F0" w:rsidRDefault="0010331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Total company meetings taking place </w:t>
            </w:r>
          </w:p>
        </w:tc>
        <w:tc>
          <w:tcPr>
            <w:tcW w:w="860" w:type="dxa"/>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8103F0" w:rsidRDefault="00103315" w:rsidP="003B4083">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18</w:t>
            </w:r>
          </w:p>
        </w:tc>
        <w:tc>
          <w:tcPr>
            <w:tcW w:w="655" w:type="dxa"/>
            <w:tcBorders>
              <w:top w:val="nil"/>
              <w:left w:val="single" w:sz="4" w:space="0" w:color="auto"/>
              <w:bottom w:val="nil"/>
              <w:right w:val="nil"/>
            </w:tcBorders>
            <w:shd w:val="clear" w:color="000000" w:fill="FFFFFF" w:themeFill="background1"/>
          </w:tcPr>
          <w:p w:rsidR="002D0980" w:rsidRPr="008103F0" w:rsidRDefault="00302DFD" w:rsidP="003B4083">
            <w:pPr>
              <w:spacing w:after="0"/>
              <w:jc w:val="center"/>
              <w:rPr>
                <w:rFonts w:ascii="Verdana" w:hAnsi="Verdana" w:cs="Arial"/>
                <w:bCs/>
                <w:color w:val="183850" w:themeColor="text1"/>
                <w:sz w:val="20"/>
                <w:szCs w:val="20"/>
              </w:rPr>
            </w:pPr>
          </w:p>
        </w:tc>
      </w:tr>
      <w:tr w:rsidR="00801FC0" w:rsidTr="008015F8">
        <w:trPr>
          <w:trHeight w:val="255"/>
        </w:trPr>
        <w:tc>
          <w:tcPr>
            <w:tcW w:w="0" w:type="auto"/>
            <w:shd w:val="clear" w:color="000000" w:fill="FFFFFF" w:themeFill="background1"/>
            <w:noWrap/>
            <w:tcMar>
              <w:top w:w="15" w:type="dxa"/>
              <w:left w:w="15" w:type="dxa"/>
              <w:bottom w:w="0" w:type="dxa"/>
              <w:right w:w="15" w:type="dxa"/>
            </w:tcMar>
            <w:vAlign w:val="center"/>
            <w:hideMark/>
          </w:tcPr>
          <w:p w:rsidR="002D0980" w:rsidRPr="008103F0" w:rsidRDefault="0010331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Total resolutions (management and shareholder proposals)</w:t>
            </w:r>
          </w:p>
        </w:tc>
        <w:tc>
          <w:tcPr>
            <w:tcW w:w="0" w:type="auto"/>
            <w:tcBorders>
              <w:right w:val="single" w:sz="4" w:space="0" w:color="auto"/>
            </w:tcBorders>
            <w:shd w:val="clear" w:color="000000" w:fill="FFFFFF" w:themeFill="background1"/>
            <w:noWrap/>
            <w:tcMar>
              <w:top w:w="15" w:type="dxa"/>
              <w:left w:w="15" w:type="dxa"/>
              <w:bottom w:w="0" w:type="dxa"/>
              <w:right w:w="15" w:type="dxa"/>
            </w:tcMar>
            <w:vAlign w:val="center"/>
            <w:hideMark/>
          </w:tcPr>
          <w:p w:rsidR="002D0980" w:rsidRPr="008103F0" w:rsidRDefault="00103315" w:rsidP="003B4083">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218</w:t>
            </w:r>
          </w:p>
        </w:tc>
        <w:tc>
          <w:tcPr>
            <w:tcW w:w="655" w:type="dxa"/>
            <w:tcBorders>
              <w:top w:val="nil"/>
              <w:left w:val="single" w:sz="4" w:space="0" w:color="auto"/>
              <w:bottom w:val="nil"/>
              <w:right w:val="nil"/>
            </w:tcBorders>
            <w:shd w:val="clear" w:color="000000" w:fill="FFFFFF" w:themeFill="background1"/>
          </w:tcPr>
          <w:p w:rsidR="002D0980" w:rsidRPr="008103F0" w:rsidRDefault="00302DFD" w:rsidP="003B4083">
            <w:pPr>
              <w:spacing w:after="0"/>
              <w:jc w:val="center"/>
              <w:rPr>
                <w:rFonts w:ascii="Verdana" w:hAnsi="Verdana" w:cs="Arial"/>
                <w:bCs/>
                <w:color w:val="183850" w:themeColor="text1"/>
                <w:sz w:val="20"/>
                <w:szCs w:val="20"/>
              </w:rPr>
            </w:pPr>
          </w:p>
        </w:tc>
      </w:tr>
      <w:tr w:rsidR="00801FC0" w:rsidTr="008344B2">
        <w:trPr>
          <w:trHeight w:val="255"/>
        </w:trPr>
        <w:tc>
          <w:tcPr>
            <w:tcW w:w="0" w:type="auto"/>
            <w:tcBorders>
              <w:bottom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FC2A79">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Total </w:t>
            </w:r>
            <w:r>
              <w:rPr>
                <w:rFonts w:ascii="Verdana" w:hAnsi="Verdana" w:cs="Arial"/>
                <w:bCs/>
                <w:color w:val="183850" w:themeColor="text1"/>
                <w:sz w:val="20"/>
                <w:szCs w:val="20"/>
              </w:rPr>
              <w:t>company</w:t>
            </w:r>
            <w:r w:rsidRPr="008103F0">
              <w:rPr>
                <w:rFonts w:ascii="Verdana" w:hAnsi="Verdana" w:cs="Arial"/>
                <w:bCs/>
                <w:color w:val="183850" w:themeColor="text1"/>
                <w:sz w:val="20"/>
                <w:szCs w:val="20"/>
              </w:rPr>
              <w:t xml:space="preserve"> proposals in the period</w:t>
            </w:r>
          </w:p>
        </w:tc>
        <w:tc>
          <w:tcPr>
            <w:tcW w:w="0" w:type="auto"/>
            <w:tcBorders>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3B4083">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212</w:t>
            </w:r>
          </w:p>
        </w:tc>
        <w:tc>
          <w:tcPr>
            <w:tcW w:w="655" w:type="dxa"/>
            <w:tcBorders>
              <w:top w:val="nil"/>
              <w:left w:val="single" w:sz="4" w:space="0" w:color="auto"/>
              <w:bottom w:val="nil"/>
              <w:right w:val="nil"/>
            </w:tcBorders>
            <w:shd w:val="clear" w:color="000000" w:fill="FFFFFF" w:themeFill="background1"/>
          </w:tcPr>
          <w:p w:rsidR="00E475A1" w:rsidRPr="008103F0" w:rsidRDefault="00302DFD" w:rsidP="003B4083">
            <w:pPr>
              <w:spacing w:after="0"/>
              <w:jc w:val="center"/>
              <w:rPr>
                <w:rFonts w:ascii="Verdana" w:hAnsi="Verdana" w:cs="Arial"/>
                <w:bCs/>
                <w:color w:val="183850" w:themeColor="text1"/>
                <w:sz w:val="20"/>
                <w:szCs w:val="20"/>
              </w:rPr>
            </w:pPr>
          </w:p>
        </w:tc>
      </w:tr>
      <w:tr w:rsidR="00801FC0" w:rsidTr="008344B2">
        <w:trPr>
          <w:trHeight w:val="255"/>
        </w:trPr>
        <w:tc>
          <w:tcPr>
            <w:tcW w:w="0" w:type="auto"/>
            <w:tcBorders>
              <w:bottom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 xml:space="preserve">Total shareholder proposals in the period </w:t>
            </w:r>
          </w:p>
        </w:tc>
        <w:tc>
          <w:tcPr>
            <w:tcW w:w="0" w:type="auto"/>
            <w:tcBorders>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3B4083">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6</w:t>
            </w:r>
          </w:p>
        </w:tc>
        <w:tc>
          <w:tcPr>
            <w:tcW w:w="655" w:type="dxa"/>
            <w:tcBorders>
              <w:top w:val="nil"/>
              <w:left w:val="single" w:sz="4" w:space="0" w:color="auto"/>
              <w:bottom w:val="nil"/>
              <w:right w:val="nil"/>
            </w:tcBorders>
            <w:shd w:val="clear" w:color="000000" w:fill="FFFFFF" w:themeFill="background1"/>
          </w:tcPr>
          <w:p w:rsidR="00E475A1" w:rsidRPr="008103F0" w:rsidRDefault="00302DFD" w:rsidP="003B4083">
            <w:pPr>
              <w:spacing w:after="0"/>
              <w:jc w:val="center"/>
              <w:rPr>
                <w:rFonts w:ascii="Verdana" w:hAnsi="Verdana" w:cs="Arial"/>
                <w:bCs/>
                <w:color w:val="183850" w:themeColor="text1"/>
                <w:sz w:val="20"/>
                <w:szCs w:val="20"/>
              </w:rPr>
            </w:pPr>
          </w:p>
        </w:tc>
      </w:tr>
      <w:tr w:rsidR="00801FC0" w:rsidTr="0004532C">
        <w:trPr>
          <w:trHeight w:val="255"/>
        </w:trPr>
        <w:tc>
          <w:tcPr>
            <w:tcW w:w="0" w:type="auto"/>
            <w:tcBorders>
              <w:top w:val="single" w:sz="4" w:space="0" w:color="auto"/>
              <w:left w:val="nil"/>
              <w:bottom w:val="nil"/>
              <w:right w:val="nil"/>
            </w:tcBorders>
            <w:shd w:val="clear" w:color="000000" w:fill="FFFFFF" w:themeFill="background1"/>
            <w:noWrap/>
            <w:tcMar>
              <w:top w:w="15" w:type="dxa"/>
              <w:left w:w="15" w:type="dxa"/>
              <w:bottom w:w="0" w:type="dxa"/>
              <w:right w:w="15" w:type="dxa"/>
            </w:tcMar>
            <w:vAlign w:val="center"/>
          </w:tcPr>
          <w:p w:rsidR="008344B2" w:rsidRPr="008103F0" w:rsidRDefault="00302DFD" w:rsidP="003B4083">
            <w:pPr>
              <w:spacing w:after="0"/>
              <w:rPr>
                <w:rFonts w:ascii="Verdana" w:hAnsi="Verdana" w:cs="Arial"/>
                <w:bCs/>
                <w:color w:val="183850" w:themeColor="text1"/>
                <w:sz w:val="20"/>
                <w:szCs w:val="20"/>
              </w:rPr>
            </w:pPr>
          </w:p>
        </w:tc>
        <w:tc>
          <w:tcPr>
            <w:tcW w:w="0" w:type="auto"/>
            <w:tcBorders>
              <w:top w:val="single" w:sz="4" w:space="0" w:color="auto"/>
              <w:left w:val="nil"/>
              <w:bottom w:val="nil"/>
              <w:right w:val="nil"/>
            </w:tcBorders>
            <w:shd w:val="clear" w:color="000000" w:fill="FFFFFF" w:themeFill="background1"/>
            <w:noWrap/>
            <w:tcMar>
              <w:top w:w="15" w:type="dxa"/>
              <w:left w:w="15" w:type="dxa"/>
              <w:bottom w:w="0" w:type="dxa"/>
              <w:right w:w="15" w:type="dxa"/>
            </w:tcMar>
            <w:vAlign w:val="center"/>
          </w:tcPr>
          <w:p w:rsidR="008344B2" w:rsidRDefault="00302DFD" w:rsidP="003B4083">
            <w:pPr>
              <w:spacing w:after="0"/>
              <w:jc w:val="center"/>
              <w:rPr>
                <w:rFonts w:ascii="Verdana" w:hAnsi="Verdana" w:cs="Arial"/>
                <w:bCs/>
                <w:color w:val="183850" w:themeColor="text1"/>
                <w:sz w:val="20"/>
                <w:szCs w:val="20"/>
              </w:rPr>
            </w:pPr>
          </w:p>
        </w:tc>
        <w:tc>
          <w:tcPr>
            <w:tcW w:w="655" w:type="dxa"/>
            <w:tcBorders>
              <w:top w:val="nil"/>
              <w:left w:val="nil"/>
              <w:bottom w:val="nil"/>
              <w:right w:val="nil"/>
            </w:tcBorders>
            <w:shd w:val="clear" w:color="000000" w:fill="FFFFFF" w:themeFill="background1"/>
          </w:tcPr>
          <w:p w:rsidR="008344B2" w:rsidRPr="008103F0" w:rsidRDefault="00302DFD" w:rsidP="003B4083">
            <w:pPr>
              <w:spacing w:after="0"/>
              <w:jc w:val="right"/>
              <w:rPr>
                <w:rFonts w:ascii="Verdana" w:hAnsi="Verdana" w:cs="Arial"/>
                <w:bCs/>
                <w:color w:val="183850" w:themeColor="text1"/>
                <w:sz w:val="20"/>
                <w:szCs w:val="20"/>
              </w:rPr>
            </w:pPr>
          </w:p>
        </w:tc>
      </w:tr>
      <w:tr w:rsidR="00801FC0" w:rsidTr="0004532C">
        <w:trPr>
          <w:trHeight w:val="255"/>
        </w:trPr>
        <w:tc>
          <w:tcPr>
            <w:tcW w:w="0" w:type="auto"/>
            <w:tcBorders>
              <w:top w:val="nil"/>
              <w:left w:val="nil"/>
              <w:bottom w:val="single" w:sz="4" w:space="0" w:color="auto"/>
              <w:right w:val="nil"/>
            </w:tcBorders>
            <w:shd w:val="clear" w:color="000000" w:fill="FFFFFF" w:themeFill="background1"/>
            <w:noWrap/>
            <w:tcMar>
              <w:top w:w="15" w:type="dxa"/>
              <w:left w:w="15" w:type="dxa"/>
              <w:bottom w:w="0" w:type="dxa"/>
              <w:right w:w="15" w:type="dxa"/>
            </w:tcMar>
            <w:vAlign w:val="center"/>
          </w:tcPr>
          <w:p w:rsidR="009E3B59" w:rsidRDefault="00103315" w:rsidP="003B4083">
            <w:pPr>
              <w:spacing w:after="0"/>
              <w:rPr>
                <w:rFonts w:ascii="Verdana" w:hAnsi="Verdana" w:cs="Arial"/>
                <w:bCs/>
                <w:color w:val="183850" w:themeColor="text1"/>
                <w:sz w:val="20"/>
                <w:szCs w:val="20"/>
              </w:rPr>
            </w:pPr>
            <w:r>
              <w:rPr>
                <w:rFonts w:ascii="Verdana" w:hAnsi="Verdana" w:cs="Arial"/>
                <w:bCs/>
                <w:color w:val="183850" w:themeColor="text1"/>
                <w:sz w:val="20"/>
                <w:szCs w:val="20"/>
              </w:rPr>
              <w:t>Company Proposals</w:t>
            </w:r>
          </w:p>
        </w:tc>
        <w:tc>
          <w:tcPr>
            <w:tcW w:w="0" w:type="auto"/>
            <w:tcBorders>
              <w:top w:val="nil"/>
              <w:left w:val="nil"/>
              <w:bottom w:val="single" w:sz="4" w:space="0" w:color="auto"/>
              <w:right w:val="nil"/>
            </w:tcBorders>
            <w:shd w:val="clear" w:color="000000" w:fill="FFFFFF" w:themeFill="background1"/>
            <w:noWrap/>
            <w:tcMar>
              <w:top w:w="15" w:type="dxa"/>
              <w:left w:w="15" w:type="dxa"/>
              <w:bottom w:w="0" w:type="dxa"/>
              <w:right w:w="15" w:type="dxa"/>
            </w:tcMar>
            <w:vAlign w:val="center"/>
          </w:tcPr>
          <w:p w:rsidR="009E3B59" w:rsidRDefault="00302DFD" w:rsidP="008344B2">
            <w:pPr>
              <w:spacing w:after="0"/>
              <w:jc w:val="center"/>
              <w:rPr>
                <w:rFonts w:ascii="Verdana" w:hAnsi="Verdana" w:cs="Arial"/>
                <w:bCs/>
                <w:color w:val="183850" w:themeColor="text1"/>
                <w:sz w:val="20"/>
                <w:szCs w:val="20"/>
              </w:rPr>
            </w:pPr>
          </w:p>
        </w:tc>
        <w:tc>
          <w:tcPr>
            <w:tcW w:w="655" w:type="dxa"/>
            <w:tcBorders>
              <w:top w:val="nil"/>
              <w:left w:val="nil"/>
              <w:bottom w:val="single" w:sz="4" w:space="0" w:color="auto"/>
              <w:right w:val="nil"/>
            </w:tcBorders>
            <w:shd w:val="clear" w:color="000000" w:fill="FFFFFF" w:themeFill="background1"/>
          </w:tcPr>
          <w:p w:rsidR="009E3B59" w:rsidRDefault="00302DFD" w:rsidP="00AE4699">
            <w:pPr>
              <w:spacing w:after="0"/>
              <w:jc w:val="center"/>
              <w:rPr>
                <w:rFonts w:ascii="Verdana" w:hAnsi="Verdana" w:cs="Arial"/>
                <w:bCs/>
                <w:color w:val="183850" w:themeColor="text1"/>
                <w:sz w:val="20"/>
                <w:szCs w:val="20"/>
              </w:rPr>
            </w:pPr>
          </w:p>
        </w:tc>
      </w:tr>
      <w:tr w:rsidR="00801FC0" w:rsidTr="0004532C">
        <w:trPr>
          <w:trHeight w:val="255"/>
        </w:trPr>
        <w:tc>
          <w:tcPr>
            <w:tcW w:w="0" w:type="auto"/>
            <w:tcBorders>
              <w:top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103315" w:rsidP="003B4083">
            <w:pPr>
              <w:spacing w:after="0"/>
              <w:rPr>
                <w:rFonts w:ascii="Verdana" w:hAnsi="Verdana" w:cs="Arial"/>
                <w:bCs/>
                <w:color w:val="183850" w:themeColor="text1"/>
                <w:sz w:val="20"/>
                <w:szCs w:val="20"/>
              </w:rPr>
            </w:pPr>
            <w:r>
              <w:rPr>
                <w:rFonts w:ascii="Verdana" w:hAnsi="Verdana" w:cs="Arial"/>
                <w:bCs/>
                <w:color w:val="183850" w:themeColor="text1"/>
                <w:sz w:val="20"/>
                <w:szCs w:val="20"/>
              </w:rPr>
              <w:t>Voting was</w:t>
            </w:r>
            <w:r w:rsidRPr="008103F0">
              <w:rPr>
                <w:rFonts w:ascii="Verdana" w:hAnsi="Verdana" w:cs="Arial"/>
                <w:bCs/>
                <w:color w:val="183850" w:themeColor="text1"/>
                <w:sz w:val="20"/>
                <w:szCs w:val="20"/>
              </w:rPr>
              <w:t xml:space="preserve"> in line with Management recommendations</w:t>
            </w:r>
          </w:p>
        </w:tc>
        <w:tc>
          <w:tcPr>
            <w:tcW w:w="0" w:type="auto"/>
            <w:tcBorders>
              <w:top w:val="single" w:sz="4" w:space="0" w:color="auto"/>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103315" w:rsidP="008344B2">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196</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103315" w:rsidP="00AE4699">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 xml:space="preserve">92% </w:t>
            </w:r>
          </w:p>
        </w:tc>
      </w:tr>
      <w:tr w:rsidR="00801FC0" w:rsidTr="008344B2">
        <w:trPr>
          <w:trHeight w:val="255"/>
        </w:trPr>
        <w:tc>
          <w:tcPr>
            <w:tcW w:w="0" w:type="auto"/>
            <w:tcBorders>
              <w:bottom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103315" w:rsidP="00B714A6">
            <w:pPr>
              <w:spacing w:after="0"/>
              <w:rPr>
                <w:rFonts w:ascii="Verdana" w:hAnsi="Verdana" w:cs="Arial"/>
                <w:bCs/>
                <w:color w:val="183850" w:themeColor="text1"/>
                <w:sz w:val="20"/>
                <w:szCs w:val="20"/>
              </w:rPr>
            </w:pPr>
            <w:r>
              <w:rPr>
                <w:rFonts w:ascii="Verdana" w:hAnsi="Verdana" w:cs="Arial"/>
                <w:bCs/>
                <w:color w:val="183850" w:themeColor="text1"/>
                <w:sz w:val="20"/>
                <w:szCs w:val="20"/>
              </w:rPr>
              <w:t>Voting</w:t>
            </w:r>
            <w:r w:rsidRPr="008103F0">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was against </w:t>
            </w:r>
            <w:r w:rsidRPr="008103F0">
              <w:rPr>
                <w:rFonts w:ascii="Verdana" w:hAnsi="Verdana" w:cs="Arial"/>
                <w:bCs/>
                <w:color w:val="183850" w:themeColor="text1"/>
                <w:sz w:val="20"/>
                <w:szCs w:val="20"/>
              </w:rPr>
              <w:t>Management recommendations</w:t>
            </w:r>
          </w:p>
        </w:tc>
        <w:tc>
          <w:tcPr>
            <w:tcW w:w="0" w:type="auto"/>
            <w:tcBorders>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hideMark/>
          </w:tcPr>
          <w:p w:rsidR="00E475A1" w:rsidRPr="008103F0" w:rsidRDefault="00103315" w:rsidP="00AE4699">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16</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103315" w:rsidP="00AE4699">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8%</w:t>
            </w:r>
          </w:p>
        </w:tc>
      </w:tr>
      <w:tr w:rsidR="00801FC0" w:rsidTr="008344B2">
        <w:trPr>
          <w:trHeight w:val="255"/>
        </w:trPr>
        <w:tc>
          <w:tcPr>
            <w:tcW w:w="0" w:type="auto"/>
            <w:tcBorders>
              <w:top w:val="single" w:sz="4" w:space="0" w:color="auto"/>
              <w:left w:val="nil"/>
              <w:bottom w:val="single" w:sz="4" w:space="0" w:color="auto"/>
              <w:right w:val="nil"/>
            </w:tcBorders>
            <w:shd w:val="clear" w:color="000000" w:fill="FFFFFF" w:themeFill="background1"/>
            <w:noWrap/>
            <w:tcMar>
              <w:top w:w="15" w:type="dxa"/>
              <w:left w:w="15" w:type="dxa"/>
              <w:bottom w:w="0" w:type="dxa"/>
              <w:right w:w="15" w:type="dxa"/>
            </w:tcMar>
            <w:vAlign w:val="center"/>
          </w:tcPr>
          <w:p w:rsidR="008344B2" w:rsidRPr="008103F0" w:rsidRDefault="00302DFD" w:rsidP="003B4083">
            <w:pPr>
              <w:spacing w:after="0"/>
              <w:rPr>
                <w:rFonts w:ascii="Verdana" w:hAnsi="Verdana" w:cs="Arial"/>
                <w:bCs/>
                <w:color w:val="183850" w:themeColor="text1"/>
                <w:sz w:val="20"/>
                <w:szCs w:val="20"/>
              </w:rPr>
            </w:pPr>
          </w:p>
        </w:tc>
        <w:tc>
          <w:tcPr>
            <w:tcW w:w="0" w:type="auto"/>
            <w:tcBorders>
              <w:top w:val="single" w:sz="4" w:space="0" w:color="auto"/>
              <w:left w:val="nil"/>
              <w:bottom w:val="single" w:sz="4" w:space="0" w:color="auto"/>
              <w:right w:val="nil"/>
            </w:tcBorders>
            <w:shd w:val="clear" w:color="000000" w:fill="FFFFFF" w:themeFill="background1"/>
            <w:noWrap/>
            <w:tcMar>
              <w:top w:w="15" w:type="dxa"/>
              <w:left w:w="15" w:type="dxa"/>
              <w:bottom w:w="0" w:type="dxa"/>
              <w:right w:w="15" w:type="dxa"/>
            </w:tcMar>
            <w:vAlign w:val="center"/>
          </w:tcPr>
          <w:p w:rsidR="008344B2" w:rsidRDefault="00302DFD" w:rsidP="003B4083">
            <w:pPr>
              <w:spacing w:after="0"/>
              <w:jc w:val="center"/>
              <w:rPr>
                <w:rFonts w:ascii="Verdana" w:hAnsi="Verdana" w:cs="Arial"/>
                <w:bCs/>
                <w:color w:val="183850" w:themeColor="text1"/>
                <w:sz w:val="20"/>
                <w:szCs w:val="20"/>
              </w:rPr>
            </w:pPr>
          </w:p>
        </w:tc>
        <w:tc>
          <w:tcPr>
            <w:tcW w:w="655" w:type="dxa"/>
            <w:tcBorders>
              <w:top w:val="single" w:sz="4" w:space="0" w:color="auto"/>
              <w:left w:val="nil"/>
              <w:bottom w:val="single" w:sz="4" w:space="0" w:color="auto"/>
              <w:right w:val="nil"/>
            </w:tcBorders>
            <w:shd w:val="clear" w:color="000000" w:fill="FFFFFF" w:themeFill="background1"/>
          </w:tcPr>
          <w:p w:rsidR="008344B2" w:rsidRPr="008103F0" w:rsidRDefault="00302DFD" w:rsidP="003B4083">
            <w:pPr>
              <w:spacing w:after="0"/>
              <w:jc w:val="right"/>
              <w:rPr>
                <w:rFonts w:ascii="Verdana" w:hAnsi="Verdana" w:cs="Arial"/>
                <w:bCs/>
                <w:color w:val="183850" w:themeColor="text1"/>
                <w:sz w:val="20"/>
                <w:szCs w:val="20"/>
              </w:rPr>
            </w:pPr>
          </w:p>
        </w:tc>
      </w:tr>
      <w:tr w:rsidR="00801FC0" w:rsidTr="008344B2">
        <w:trPr>
          <w:trHeight w:val="255"/>
        </w:trPr>
        <w:tc>
          <w:tcPr>
            <w:tcW w:w="0" w:type="auto"/>
            <w:tcBorders>
              <w:top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3B4083">
            <w:pPr>
              <w:spacing w:after="0"/>
              <w:rPr>
                <w:rFonts w:ascii="Verdana" w:hAnsi="Verdana" w:cs="Arial"/>
                <w:bCs/>
                <w:color w:val="183850" w:themeColor="text1"/>
                <w:sz w:val="20"/>
                <w:szCs w:val="20"/>
              </w:rPr>
            </w:pPr>
            <w:r w:rsidRPr="008103F0">
              <w:rPr>
                <w:rFonts w:ascii="Verdana" w:hAnsi="Verdana" w:cs="Arial"/>
                <w:bCs/>
                <w:color w:val="183850" w:themeColor="text1"/>
                <w:sz w:val="20"/>
                <w:szCs w:val="20"/>
              </w:rPr>
              <w:t>Shareholder proposals supported by LPP I</w:t>
            </w:r>
          </w:p>
        </w:tc>
        <w:tc>
          <w:tcPr>
            <w:tcW w:w="0" w:type="auto"/>
            <w:tcBorders>
              <w:top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rsidR="00E475A1" w:rsidRPr="008103F0" w:rsidRDefault="00103315" w:rsidP="003B4083">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3</w:t>
            </w:r>
          </w:p>
        </w:tc>
        <w:tc>
          <w:tcPr>
            <w:tcW w:w="655" w:type="dxa"/>
            <w:tcBorders>
              <w:top w:val="single" w:sz="4" w:space="0" w:color="auto"/>
              <w:left w:val="single" w:sz="4" w:space="0" w:color="auto"/>
              <w:bottom w:val="single" w:sz="4" w:space="0" w:color="auto"/>
              <w:right w:val="single" w:sz="4" w:space="0" w:color="auto"/>
            </w:tcBorders>
            <w:shd w:val="clear" w:color="000000" w:fill="FFFFFF" w:themeFill="background1"/>
          </w:tcPr>
          <w:p w:rsidR="00E475A1" w:rsidRPr="008103F0" w:rsidRDefault="00103315" w:rsidP="00AE4699">
            <w:pPr>
              <w:spacing w:after="0"/>
              <w:jc w:val="center"/>
              <w:rPr>
                <w:rFonts w:ascii="Verdana" w:hAnsi="Verdana" w:cs="Arial"/>
                <w:bCs/>
                <w:color w:val="183850" w:themeColor="text1"/>
                <w:sz w:val="20"/>
                <w:szCs w:val="20"/>
              </w:rPr>
            </w:pPr>
            <w:r>
              <w:rPr>
                <w:rFonts w:ascii="Verdana" w:hAnsi="Verdana" w:cs="Arial"/>
                <w:bCs/>
                <w:color w:val="183850" w:themeColor="text1"/>
                <w:sz w:val="20"/>
                <w:szCs w:val="20"/>
              </w:rPr>
              <w:t>50%</w:t>
            </w:r>
          </w:p>
        </w:tc>
      </w:tr>
    </w:tbl>
    <w:p w:rsidR="009D783C" w:rsidRPr="008103F0" w:rsidRDefault="00302DFD" w:rsidP="003B4083">
      <w:pPr>
        <w:widowControl w:val="0"/>
        <w:spacing w:after="0"/>
        <w:outlineLvl w:val="0"/>
        <w:rPr>
          <w:rFonts w:ascii="Verdana" w:hAnsi="Verdana" w:cs="Arial"/>
          <w:bCs/>
          <w:color w:val="183850" w:themeColor="text1"/>
          <w:sz w:val="20"/>
          <w:szCs w:val="20"/>
        </w:rPr>
      </w:pPr>
    </w:p>
    <w:p w:rsidR="009D783C" w:rsidRPr="008103F0" w:rsidRDefault="00302DFD" w:rsidP="003B4083">
      <w:pPr>
        <w:pStyle w:val="ListParagraph"/>
        <w:spacing w:after="0"/>
        <w:ind w:left="0"/>
        <w:rPr>
          <w:rFonts w:ascii="Verdana" w:hAnsi="Verdana"/>
          <w:color w:val="183850" w:themeColor="text1"/>
          <w:sz w:val="20"/>
          <w:szCs w:val="20"/>
          <w:u w:val="single"/>
        </w:rPr>
      </w:pPr>
    </w:p>
    <w:p w:rsidR="009D783C" w:rsidRPr="008103F0" w:rsidRDefault="00302DFD" w:rsidP="003B4083">
      <w:pPr>
        <w:pStyle w:val="ListParagraph"/>
        <w:spacing w:after="0"/>
        <w:ind w:left="0"/>
        <w:rPr>
          <w:rFonts w:ascii="Verdana" w:hAnsi="Verdana"/>
          <w:color w:val="183850" w:themeColor="text1"/>
          <w:sz w:val="20"/>
          <w:szCs w:val="20"/>
          <w:u w:val="single"/>
        </w:rPr>
      </w:pPr>
    </w:p>
    <w:p w:rsidR="00287D25" w:rsidRPr="008103F0" w:rsidRDefault="00302DFD" w:rsidP="003B4083">
      <w:pPr>
        <w:widowControl w:val="0"/>
        <w:spacing w:after="0"/>
        <w:outlineLvl w:val="0"/>
        <w:rPr>
          <w:rFonts w:ascii="Verdana" w:hAnsi="Verdana" w:cs="Arial"/>
          <w:bCs/>
          <w:color w:val="183850" w:themeColor="text1"/>
          <w:sz w:val="20"/>
          <w:szCs w:val="20"/>
        </w:rPr>
      </w:pPr>
    </w:p>
    <w:p w:rsidR="00287D25" w:rsidRPr="008103F0" w:rsidRDefault="00302DFD" w:rsidP="003B4083">
      <w:pPr>
        <w:widowControl w:val="0"/>
        <w:spacing w:after="0"/>
        <w:outlineLvl w:val="0"/>
        <w:rPr>
          <w:rFonts w:ascii="Verdana" w:hAnsi="Verdana" w:cs="Arial"/>
          <w:bCs/>
          <w:color w:val="183850" w:themeColor="text1"/>
          <w:sz w:val="20"/>
          <w:szCs w:val="20"/>
        </w:rPr>
      </w:pPr>
    </w:p>
    <w:p w:rsidR="009D783C" w:rsidRPr="008103F0" w:rsidRDefault="00302DFD" w:rsidP="003B4083">
      <w:pPr>
        <w:widowControl w:val="0"/>
        <w:spacing w:after="0"/>
        <w:outlineLvl w:val="0"/>
        <w:rPr>
          <w:rFonts w:ascii="Verdana" w:hAnsi="Verdana" w:cs="Arial"/>
          <w:bCs/>
          <w:color w:val="183850" w:themeColor="text1"/>
          <w:sz w:val="20"/>
          <w:szCs w:val="20"/>
        </w:rPr>
      </w:pPr>
    </w:p>
    <w:p w:rsidR="009D783C" w:rsidRPr="008103F0" w:rsidRDefault="00302DFD" w:rsidP="003B4083">
      <w:pPr>
        <w:widowControl w:val="0"/>
        <w:spacing w:after="0"/>
        <w:outlineLvl w:val="0"/>
        <w:rPr>
          <w:rFonts w:ascii="Verdana" w:hAnsi="Verdana" w:cs="Arial"/>
          <w:bCs/>
          <w:color w:val="183850" w:themeColor="text1"/>
          <w:sz w:val="20"/>
          <w:szCs w:val="20"/>
        </w:rPr>
      </w:pPr>
    </w:p>
    <w:p w:rsidR="009D783C" w:rsidRPr="008103F0" w:rsidRDefault="00302DFD" w:rsidP="003B4083">
      <w:pPr>
        <w:widowControl w:val="0"/>
        <w:spacing w:after="0"/>
        <w:outlineLvl w:val="0"/>
        <w:rPr>
          <w:rFonts w:ascii="Verdana" w:hAnsi="Verdana" w:cs="Arial"/>
          <w:bCs/>
          <w:color w:val="183850" w:themeColor="text1"/>
          <w:sz w:val="20"/>
          <w:szCs w:val="20"/>
        </w:rPr>
      </w:pPr>
    </w:p>
    <w:p w:rsidR="00E475A1" w:rsidRPr="008103F0" w:rsidRDefault="00302DFD" w:rsidP="003B4083">
      <w:pPr>
        <w:widowControl w:val="0"/>
        <w:spacing w:after="0"/>
        <w:outlineLvl w:val="0"/>
        <w:rPr>
          <w:rFonts w:ascii="Verdana" w:hAnsi="Verdana" w:cs="Arial"/>
          <w:bCs/>
          <w:color w:val="183850" w:themeColor="text1"/>
          <w:sz w:val="20"/>
          <w:szCs w:val="20"/>
        </w:rPr>
      </w:pPr>
    </w:p>
    <w:p w:rsidR="008344B2" w:rsidRDefault="00302DFD" w:rsidP="00E50F74">
      <w:pPr>
        <w:widowControl w:val="0"/>
        <w:spacing w:after="0"/>
        <w:outlineLvl w:val="0"/>
        <w:rPr>
          <w:rFonts w:ascii="Verdana" w:hAnsi="Verdana" w:cs="Arial"/>
          <w:bCs/>
          <w:color w:val="183850" w:themeColor="text1"/>
          <w:sz w:val="20"/>
          <w:szCs w:val="20"/>
        </w:rPr>
      </w:pPr>
    </w:p>
    <w:p w:rsidR="00AB3073" w:rsidRDefault="00302DFD" w:rsidP="00E50F74">
      <w:pPr>
        <w:widowControl w:val="0"/>
        <w:spacing w:after="0"/>
        <w:outlineLvl w:val="0"/>
        <w:rPr>
          <w:rFonts w:ascii="Verdana" w:hAnsi="Verdana" w:cs="Arial"/>
          <w:bCs/>
          <w:color w:val="183850" w:themeColor="text1"/>
          <w:sz w:val="20"/>
          <w:szCs w:val="20"/>
        </w:rPr>
      </w:pPr>
    </w:p>
    <w:p w:rsidR="009E3B59" w:rsidRDefault="00302DFD" w:rsidP="00E50F74">
      <w:pPr>
        <w:widowControl w:val="0"/>
        <w:spacing w:after="0"/>
        <w:outlineLvl w:val="0"/>
        <w:rPr>
          <w:rFonts w:ascii="Verdana" w:hAnsi="Verdana" w:cs="Arial"/>
          <w:bCs/>
          <w:color w:val="183850" w:themeColor="text1"/>
          <w:sz w:val="20"/>
          <w:szCs w:val="20"/>
        </w:rPr>
      </w:pPr>
    </w:p>
    <w:p w:rsidR="0004532C" w:rsidRDefault="00302DFD" w:rsidP="00867372">
      <w:pPr>
        <w:pStyle w:val="ListParagraph"/>
        <w:ind w:left="0"/>
        <w:rPr>
          <w:rFonts w:ascii="Verdana" w:hAnsi="Verdana"/>
          <w:color w:val="183850" w:themeColor="text1"/>
          <w:sz w:val="20"/>
          <w:szCs w:val="20"/>
        </w:rPr>
      </w:pPr>
    </w:p>
    <w:p w:rsidR="00FF2891"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The table below summarises resolutions by type and indicates the subject of shareholder resolutions seen in Q3.</w:t>
      </w:r>
    </w:p>
    <w:tbl>
      <w:tblPr>
        <w:tblStyle w:val="TableGrid"/>
        <w:tblW w:w="0" w:type="auto"/>
        <w:tblLook w:val="04A0" w:firstRow="1" w:lastRow="0" w:firstColumn="1" w:lastColumn="0" w:noHBand="0" w:noVBand="1"/>
      </w:tblPr>
      <w:tblGrid>
        <w:gridCol w:w="4957"/>
        <w:gridCol w:w="1701"/>
      </w:tblGrid>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Resolutions by Type</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Number of proposals</w:t>
            </w:r>
          </w:p>
        </w:tc>
      </w:tr>
      <w:tr w:rsidR="00801FC0" w:rsidTr="002D14BD">
        <w:tc>
          <w:tcPr>
            <w:tcW w:w="4957" w:type="dxa"/>
          </w:tcPr>
          <w:p w:rsidR="002D14BD" w:rsidRPr="002D14BD" w:rsidRDefault="00103315" w:rsidP="002D14BD">
            <w:pPr>
              <w:rPr>
                <w:rFonts w:ascii="Verdana" w:hAnsi="Verdana"/>
                <w:sz w:val="20"/>
                <w:szCs w:val="20"/>
              </w:rPr>
            </w:pPr>
            <w:r>
              <w:rPr>
                <w:rFonts w:ascii="Verdana" w:hAnsi="Verdana"/>
                <w:sz w:val="20"/>
                <w:szCs w:val="20"/>
              </w:rPr>
              <w:t xml:space="preserve">Antitakeover Related </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3</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 xml:space="preserve">Capitalization (Share Issuance/Repurchase)  </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25</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Director Related (nominations)</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123</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Remuneration</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21</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Reorganisation &amp; Merger Related</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2</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Routine/Business</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38</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SH -</w:t>
            </w:r>
            <w:r>
              <w:rPr>
                <w:rFonts w:ascii="Verdana" w:hAnsi="Verdana"/>
                <w:sz w:val="20"/>
                <w:szCs w:val="20"/>
              </w:rPr>
              <w:t xml:space="preserve"> </w:t>
            </w:r>
            <w:r w:rsidRPr="002D14BD">
              <w:rPr>
                <w:rFonts w:ascii="Verdana" w:hAnsi="Verdana"/>
                <w:sz w:val="20"/>
                <w:szCs w:val="20"/>
              </w:rPr>
              <w:t>Compensation Related</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1</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SH -</w:t>
            </w:r>
            <w:r>
              <w:rPr>
                <w:rFonts w:ascii="Verdana" w:hAnsi="Verdana"/>
                <w:sz w:val="20"/>
                <w:szCs w:val="20"/>
              </w:rPr>
              <w:t xml:space="preserve"> </w:t>
            </w:r>
            <w:r w:rsidRPr="002D14BD">
              <w:rPr>
                <w:rFonts w:ascii="Verdana" w:hAnsi="Verdana"/>
                <w:sz w:val="20"/>
                <w:szCs w:val="20"/>
              </w:rPr>
              <w:t xml:space="preserve">Director Related </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3</w:t>
            </w:r>
          </w:p>
        </w:tc>
      </w:tr>
      <w:tr w:rsidR="00801FC0" w:rsidTr="002D14BD">
        <w:tc>
          <w:tcPr>
            <w:tcW w:w="4957" w:type="dxa"/>
          </w:tcPr>
          <w:p w:rsidR="002D14BD" w:rsidRPr="002D14BD" w:rsidRDefault="00103315" w:rsidP="002D14BD">
            <w:pPr>
              <w:rPr>
                <w:rFonts w:ascii="Verdana" w:hAnsi="Verdana"/>
                <w:sz w:val="20"/>
                <w:szCs w:val="20"/>
              </w:rPr>
            </w:pPr>
            <w:r w:rsidRPr="002D14BD">
              <w:rPr>
                <w:rFonts w:ascii="Verdana" w:hAnsi="Verdana"/>
                <w:sz w:val="20"/>
                <w:szCs w:val="20"/>
              </w:rPr>
              <w:t>SH - Health/Environmental</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2</w:t>
            </w:r>
          </w:p>
        </w:tc>
      </w:tr>
      <w:tr w:rsidR="00801FC0" w:rsidTr="002D14BD">
        <w:tc>
          <w:tcPr>
            <w:tcW w:w="4957" w:type="dxa"/>
          </w:tcPr>
          <w:p w:rsidR="002D14BD" w:rsidRPr="002D14BD" w:rsidRDefault="00103315" w:rsidP="002D14BD">
            <w:pPr>
              <w:jc w:val="right"/>
              <w:rPr>
                <w:rFonts w:ascii="Verdana" w:hAnsi="Verdana"/>
                <w:sz w:val="20"/>
                <w:szCs w:val="20"/>
              </w:rPr>
            </w:pPr>
            <w:r w:rsidRPr="002D14BD">
              <w:rPr>
                <w:rFonts w:ascii="Verdana" w:hAnsi="Verdana"/>
                <w:sz w:val="20"/>
                <w:szCs w:val="20"/>
              </w:rPr>
              <w:t>Total</w:t>
            </w:r>
          </w:p>
        </w:tc>
        <w:tc>
          <w:tcPr>
            <w:tcW w:w="1701" w:type="dxa"/>
          </w:tcPr>
          <w:p w:rsidR="002D14BD" w:rsidRPr="002D14BD" w:rsidRDefault="00103315" w:rsidP="002D14BD">
            <w:pPr>
              <w:jc w:val="center"/>
              <w:rPr>
                <w:rFonts w:ascii="Verdana" w:hAnsi="Verdana"/>
                <w:sz w:val="20"/>
                <w:szCs w:val="20"/>
              </w:rPr>
            </w:pPr>
            <w:r w:rsidRPr="002D14BD">
              <w:rPr>
                <w:rFonts w:ascii="Verdana" w:hAnsi="Verdana"/>
                <w:sz w:val="20"/>
                <w:szCs w:val="20"/>
              </w:rPr>
              <w:t>218</w:t>
            </w:r>
          </w:p>
        </w:tc>
      </w:tr>
    </w:tbl>
    <w:p w:rsidR="00E02230" w:rsidRDefault="00302DFD" w:rsidP="00867372">
      <w:pPr>
        <w:pStyle w:val="ListParagraph"/>
        <w:ind w:left="0"/>
        <w:rPr>
          <w:rFonts w:ascii="Verdana" w:hAnsi="Verdana"/>
          <w:color w:val="183850" w:themeColor="text1"/>
          <w:sz w:val="20"/>
          <w:szCs w:val="20"/>
        </w:rPr>
      </w:pPr>
    </w:p>
    <w:p w:rsidR="00355750" w:rsidRPr="002D14BD" w:rsidRDefault="00103315" w:rsidP="002D14BD">
      <w:pPr>
        <w:autoSpaceDE w:val="0"/>
        <w:autoSpaceDN w:val="0"/>
        <w:adjustRightInd w:val="0"/>
        <w:spacing w:after="0"/>
        <w:rPr>
          <w:rFonts w:ascii="Verdana" w:hAnsi="Verdana" w:cs="Arial"/>
          <w:bCs/>
          <w:color w:val="183850" w:themeColor="text1"/>
          <w:sz w:val="20"/>
          <w:szCs w:val="20"/>
        </w:rPr>
      </w:pPr>
      <w:r w:rsidRPr="002D14BD">
        <w:rPr>
          <w:rFonts w:ascii="Verdana" w:hAnsi="Verdana" w:cs="Arial"/>
          <w:bCs/>
          <w:color w:val="183850" w:themeColor="text1"/>
          <w:sz w:val="20"/>
          <w:szCs w:val="20"/>
        </w:rPr>
        <w:t xml:space="preserve">LPP voted against management resolutions in 16 instances, 13 of which were at the AGM of </w:t>
      </w:r>
      <w:r w:rsidRPr="002D14BD">
        <w:rPr>
          <w:rFonts w:ascii="Verdana" w:hAnsi="Verdana" w:cs="Arial"/>
          <w:b/>
          <w:bCs/>
          <w:color w:val="183850" w:themeColor="text1"/>
          <w:sz w:val="20"/>
          <w:szCs w:val="20"/>
        </w:rPr>
        <w:t>Compagnie Financier Richemont SA</w:t>
      </w:r>
      <w:r>
        <w:rPr>
          <w:rFonts w:ascii="Verdana" w:hAnsi="Verdana" w:cs="Arial"/>
          <w:bCs/>
          <w:color w:val="183850" w:themeColor="text1"/>
          <w:sz w:val="20"/>
          <w:szCs w:val="20"/>
        </w:rPr>
        <w:t xml:space="preserve"> (A</w:t>
      </w:r>
      <w:r w:rsidRPr="002D14BD">
        <w:rPr>
          <w:rFonts w:ascii="Verdana" w:hAnsi="Verdana" w:cs="Arial"/>
          <w:bCs/>
          <w:color w:val="183850" w:themeColor="text1"/>
          <w:sz w:val="20"/>
          <w:szCs w:val="20"/>
        </w:rPr>
        <w:t>ccessories &amp; luxury g</w:t>
      </w:r>
      <w:r>
        <w:rPr>
          <w:rFonts w:ascii="Verdana" w:hAnsi="Verdana" w:cs="Arial"/>
          <w:bCs/>
          <w:color w:val="183850" w:themeColor="text1"/>
          <w:sz w:val="20"/>
          <w:szCs w:val="20"/>
        </w:rPr>
        <w:t>oods</w:t>
      </w:r>
      <w:r w:rsidRPr="002D14BD">
        <w:rPr>
          <w:rFonts w:ascii="Verdana" w:hAnsi="Verdana" w:cs="Arial"/>
          <w:bCs/>
          <w:color w:val="183850" w:themeColor="text1"/>
          <w:sz w:val="20"/>
          <w:szCs w:val="20"/>
        </w:rPr>
        <w:t xml:space="preserve">). LPP opposed Richemont increasing the maximum remuneration of directors on the grounds that the current level is already high by market standards. </w:t>
      </w:r>
    </w:p>
    <w:p w:rsidR="00355750" w:rsidRPr="002D14BD" w:rsidRDefault="00302DFD" w:rsidP="002D14BD">
      <w:pPr>
        <w:autoSpaceDE w:val="0"/>
        <w:autoSpaceDN w:val="0"/>
        <w:adjustRightInd w:val="0"/>
        <w:spacing w:after="0"/>
        <w:rPr>
          <w:rFonts w:ascii="Verdana" w:hAnsi="Verdana" w:cs="Arial"/>
          <w:bCs/>
          <w:color w:val="183850" w:themeColor="text1"/>
          <w:sz w:val="20"/>
          <w:szCs w:val="20"/>
        </w:rPr>
      </w:pPr>
    </w:p>
    <w:p w:rsidR="00867372" w:rsidRPr="002D14BD" w:rsidRDefault="00103315" w:rsidP="002D14BD">
      <w:pPr>
        <w:autoSpaceDE w:val="0"/>
        <w:autoSpaceDN w:val="0"/>
        <w:adjustRightInd w:val="0"/>
        <w:spacing w:after="0"/>
        <w:rPr>
          <w:rFonts w:ascii="Verdana" w:hAnsi="Verdana" w:cs="Arial"/>
          <w:bCs/>
          <w:color w:val="183850" w:themeColor="text1"/>
          <w:sz w:val="20"/>
          <w:szCs w:val="20"/>
        </w:rPr>
      </w:pPr>
      <w:r w:rsidRPr="002D14BD">
        <w:rPr>
          <w:rFonts w:ascii="Verdana" w:hAnsi="Verdana" w:cs="Arial"/>
          <w:bCs/>
          <w:color w:val="183850" w:themeColor="text1"/>
          <w:sz w:val="20"/>
          <w:szCs w:val="20"/>
        </w:rPr>
        <w:t xml:space="preserve">LPP also voted against the election/re-election of 11 directors on the grounds of a lack of independence. This echoed a similar position at the 2016 AGM when LPP opposed nominees on the same basis. No voting results have been released by the company from </w:t>
      </w:r>
      <w:r w:rsidRPr="002D14BD">
        <w:rPr>
          <w:rFonts w:ascii="Verdana" w:hAnsi="Verdana" w:cs="Arial"/>
          <w:bCs/>
          <w:color w:val="183850" w:themeColor="text1"/>
          <w:sz w:val="20"/>
          <w:szCs w:val="20"/>
        </w:rPr>
        <w:lastRenderedPageBreak/>
        <w:t xml:space="preserve">which it is possible to assess levels of shareholder support/dissent at either the 2016 or 2017 AGMs. </w:t>
      </w:r>
    </w:p>
    <w:p w:rsidR="00867372" w:rsidRDefault="00302DFD" w:rsidP="00867372">
      <w:pPr>
        <w:pStyle w:val="ListParagraph"/>
        <w:ind w:left="0"/>
        <w:rPr>
          <w:rFonts w:ascii="Verdana" w:hAnsi="Verdana"/>
          <w:color w:val="183850" w:themeColor="text1"/>
          <w:sz w:val="20"/>
          <w:szCs w:val="20"/>
        </w:rPr>
      </w:pPr>
    </w:p>
    <w:p w:rsidR="00FC2A79" w:rsidRDefault="00103315" w:rsidP="00867372">
      <w:pPr>
        <w:pStyle w:val="ListParagraph"/>
        <w:ind w:left="0"/>
        <w:rPr>
          <w:rFonts w:ascii="Verdana" w:hAnsi="Verdana"/>
          <w:color w:val="183850" w:themeColor="text1"/>
          <w:sz w:val="20"/>
          <w:szCs w:val="20"/>
        </w:rPr>
      </w:pPr>
      <w:r w:rsidRPr="00867372">
        <w:rPr>
          <w:rFonts w:ascii="Verdana" w:hAnsi="Verdana"/>
          <w:color w:val="183850" w:themeColor="text1"/>
          <w:sz w:val="20"/>
          <w:szCs w:val="20"/>
        </w:rPr>
        <w:t xml:space="preserve">The Swiss Code of Best Practice for Corporate Governance (updated in 2014) recommends that </w:t>
      </w:r>
      <w:r>
        <w:rPr>
          <w:rFonts w:ascii="Verdana" w:hAnsi="Verdana"/>
          <w:color w:val="183850" w:themeColor="text1"/>
          <w:sz w:val="20"/>
          <w:szCs w:val="20"/>
        </w:rPr>
        <w:t>the</w:t>
      </w:r>
      <w:r w:rsidRPr="00867372">
        <w:rPr>
          <w:rFonts w:ascii="Verdana" w:hAnsi="Verdana"/>
          <w:color w:val="183850" w:themeColor="text1"/>
          <w:sz w:val="20"/>
          <w:szCs w:val="20"/>
        </w:rPr>
        <w:t xml:space="preserve"> majority of</w:t>
      </w:r>
      <w:r>
        <w:rPr>
          <w:rFonts w:ascii="Verdana" w:hAnsi="Verdana"/>
          <w:color w:val="183850" w:themeColor="text1"/>
          <w:sz w:val="20"/>
          <w:szCs w:val="20"/>
        </w:rPr>
        <w:t xml:space="preserve"> any</w:t>
      </w:r>
      <w:r w:rsidRPr="00867372">
        <w:rPr>
          <w:rFonts w:ascii="Verdana" w:hAnsi="Verdana"/>
          <w:color w:val="183850" w:themeColor="text1"/>
          <w:sz w:val="20"/>
          <w:szCs w:val="20"/>
        </w:rPr>
        <w:t xml:space="preserve"> board should be composed of independent, non-executive members.</w:t>
      </w:r>
      <w:r w:rsidRPr="00BF7123">
        <w:rPr>
          <w:rFonts w:ascii="Verdana" w:hAnsi="Verdana"/>
          <w:color w:val="183850" w:themeColor="text1"/>
          <w:sz w:val="20"/>
          <w:szCs w:val="20"/>
        </w:rPr>
        <w:t xml:space="preserve"> </w:t>
      </w:r>
      <w:r w:rsidRPr="00867372">
        <w:rPr>
          <w:rFonts w:ascii="Verdana" w:hAnsi="Verdana"/>
          <w:color w:val="183850" w:themeColor="text1"/>
          <w:sz w:val="20"/>
          <w:szCs w:val="20"/>
        </w:rPr>
        <w:t>ISS consider</w:t>
      </w:r>
      <w:r>
        <w:rPr>
          <w:rFonts w:ascii="Verdana" w:hAnsi="Verdana"/>
          <w:color w:val="183850" w:themeColor="text1"/>
          <w:sz w:val="20"/>
          <w:szCs w:val="20"/>
        </w:rPr>
        <w:t>ed</w:t>
      </w:r>
      <w:r w:rsidRPr="00867372">
        <w:rPr>
          <w:rFonts w:ascii="Verdana" w:hAnsi="Verdana"/>
          <w:color w:val="183850" w:themeColor="text1"/>
          <w:sz w:val="20"/>
          <w:szCs w:val="20"/>
        </w:rPr>
        <w:t xml:space="preserve"> that of 14 N</w:t>
      </w:r>
      <w:r>
        <w:rPr>
          <w:rFonts w:ascii="Verdana" w:hAnsi="Verdana"/>
          <w:color w:val="183850" w:themeColor="text1"/>
          <w:sz w:val="20"/>
          <w:szCs w:val="20"/>
        </w:rPr>
        <w:t>on-</w:t>
      </w:r>
      <w:r w:rsidRPr="00867372">
        <w:rPr>
          <w:rFonts w:ascii="Verdana" w:hAnsi="Verdana"/>
          <w:color w:val="183850" w:themeColor="text1"/>
          <w:sz w:val="20"/>
          <w:szCs w:val="20"/>
        </w:rPr>
        <w:t>E</w:t>
      </w:r>
      <w:r>
        <w:rPr>
          <w:rFonts w:ascii="Verdana" w:hAnsi="Verdana"/>
          <w:color w:val="183850" w:themeColor="text1"/>
          <w:sz w:val="20"/>
          <w:szCs w:val="20"/>
        </w:rPr>
        <w:t xml:space="preserve">xecutive </w:t>
      </w:r>
      <w:r w:rsidRPr="00867372">
        <w:rPr>
          <w:rFonts w:ascii="Verdana" w:hAnsi="Verdana"/>
          <w:color w:val="183850" w:themeColor="text1"/>
          <w:sz w:val="20"/>
          <w:szCs w:val="20"/>
        </w:rPr>
        <w:t>D</w:t>
      </w:r>
      <w:r>
        <w:rPr>
          <w:rFonts w:ascii="Verdana" w:hAnsi="Verdana"/>
          <w:color w:val="183850" w:themeColor="text1"/>
          <w:sz w:val="20"/>
          <w:szCs w:val="20"/>
        </w:rPr>
        <w:t>irector</w:t>
      </w:r>
      <w:r w:rsidRPr="00867372">
        <w:rPr>
          <w:rFonts w:ascii="Verdana" w:hAnsi="Verdana"/>
          <w:color w:val="183850" w:themeColor="text1"/>
          <w:sz w:val="20"/>
          <w:szCs w:val="20"/>
        </w:rPr>
        <w:t xml:space="preserve">s nominated by Richemont </w:t>
      </w:r>
      <w:r>
        <w:rPr>
          <w:rFonts w:ascii="Verdana" w:hAnsi="Verdana"/>
          <w:color w:val="183850" w:themeColor="text1"/>
          <w:sz w:val="20"/>
          <w:szCs w:val="20"/>
        </w:rPr>
        <w:t xml:space="preserve">in 2017, </w:t>
      </w:r>
      <w:r w:rsidRPr="00867372">
        <w:rPr>
          <w:rFonts w:ascii="Verdana" w:hAnsi="Verdana"/>
          <w:color w:val="183850" w:themeColor="text1"/>
          <w:sz w:val="20"/>
          <w:szCs w:val="20"/>
        </w:rPr>
        <w:t>only 7 are independent.</w:t>
      </w:r>
      <w:r w:rsidRPr="00643AB3">
        <w:rPr>
          <w:rFonts w:ascii="Verdana" w:hAnsi="Verdana"/>
          <w:color w:val="183850" w:themeColor="text1"/>
          <w:sz w:val="20"/>
          <w:szCs w:val="20"/>
        </w:rPr>
        <w:t xml:space="preserve"> </w:t>
      </w:r>
    </w:p>
    <w:p w:rsidR="00FC2A79" w:rsidRDefault="00302DFD" w:rsidP="00867372">
      <w:pPr>
        <w:pStyle w:val="ListParagraph"/>
        <w:ind w:left="0"/>
        <w:rPr>
          <w:rFonts w:ascii="Verdana" w:hAnsi="Verdana"/>
          <w:color w:val="183850" w:themeColor="text1"/>
          <w:sz w:val="20"/>
          <w:szCs w:val="20"/>
        </w:rPr>
      </w:pPr>
    </w:p>
    <w:p w:rsidR="0004532C"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Detailed analysis shows that the level of independent Board member representation is improving over time, something which becomes apparent by reviewing the proportion of independent directors on key bodies as follows:</w:t>
      </w:r>
    </w:p>
    <w:p w:rsidR="0004532C"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 xml:space="preserve">The Board (up from 16% to 37%) </w:t>
      </w:r>
    </w:p>
    <w:p w:rsidR="0004532C"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 xml:space="preserve">Nomination Committee (up from 14% to 47%) </w:t>
      </w:r>
    </w:p>
    <w:p w:rsidR="0004532C"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 xml:space="preserve">Audit Committee (up from 0% to 40%) </w:t>
      </w:r>
    </w:p>
    <w:p w:rsidR="00867372" w:rsidRDefault="00103315" w:rsidP="00867372">
      <w:pPr>
        <w:pStyle w:val="ListParagraph"/>
        <w:ind w:left="0"/>
        <w:rPr>
          <w:rFonts w:ascii="Verdana" w:hAnsi="Verdana"/>
          <w:color w:val="183850" w:themeColor="text1"/>
          <w:sz w:val="20"/>
          <w:szCs w:val="20"/>
        </w:rPr>
      </w:pPr>
      <w:r>
        <w:rPr>
          <w:rFonts w:ascii="Verdana" w:hAnsi="Verdana"/>
          <w:color w:val="183850" w:themeColor="text1"/>
          <w:sz w:val="20"/>
          <w:szCs w:val="20"/>
        </w:rPr>
        <w:t xml:space="preserve">Compensation Committee (up from 0% to 100%). </w:t>
      </w:r>
    </w:p>
    <w:p w:rsidR="00747B19" w:rsidRPr="00867372" w:rsidRDefault="00302DFD" w:rsidP="00867372">
      <w:pPr>
        <w:pStyle w:val="ListParagraph"/>
        <w:ind w:left="0"/>
        <w:rPr>
          <w:rFonts w:ascii="Verdana" w:hAnsi="Verdana"/>
          <w:color w:val="183850" w:themeColor="text1"/>
          <w:sz w:val="20"/>
          <w:szCs w:val="20"/>
        </w:rPr>
      </w:pPr>
    </w:p>
    <w:p w:rsidR="00867372" w:rsidRPr="00747B19" w:rsidRDefault="00103315" w:rsidP="00FC2A79">
      <w:pPr>
        <w:pStyle w:val="ListParagraph"/>
        <w:ind w:left="0"/>
        <w:rPr>
          <w:rFonts w:ascii="Verdana" w:hAnsi="Verdana"/>
          <w:color w:val="183850" w:themeColor="text1"/>
          <w:sz w:val="20"/>
          <w:szCs w:val="20"/>
        </w:rPr>
      </w:pPr>
      <w:r w:rsidRPr="00FC2A79">
        <w:rPr>
          <w:rFonts w:ascii="Verdana" w:hAnsi="Verdana"/>
          <w:color w:val="183850" w:themeColor="text1"/>
          <w:sz w:val="20"/>
          <w:szCs w:val="20"/>
        </w:rPr>
        <w:t xml:space="preserve">At the AGM of </w:t>
      </w:r>
      <w:r w:rsidRPr="00252C7D">
        <w:rPr>
          <w:rFonts w:ascii="Verdana" w:hAnsi="Verdana"/>
          <w:b/>
          <w:color w:val="183850" w:themeColor="text1"/>
          <w:sz w:val="20"/>
          <w:szCs w:val="20"/>
        </w:rPr>
        <w:t>Vtech Holdings Ltd</w:t>
      </w:r>
      <w:r w:rsidRPr="00FC2A79">
        <w:rPr>
          <w:rFonts w:ascii="Verdana" w:hAnsi="Verdana"/>
          <w:color w:val="183850" w:themeColor="text1"/>
          <w:sz w:val="20"/>
          <w:szCs w:val="20"/>
        </w:rPr>
        <w:t xml:space="preserve"> (world’s largest manufacturer of cordless phones)   </w:t>
      </w:r>
      <w:r w:rsidRPr="00747B19">
        <w:rPr>
          <w:rFonts w:ascii="Verdana" w:hAnsi="Verdana"/>
          <w:color w:val="183850" w:themeColor="text1"/>
          <w:sz w:val="20"/>
          <w:szCs w:val="20"/>
        </w:rPr>
        <w:t>LPP opposed 2 management resolutions; one on the issuance of equity/equity linked securities (shares) without pre-emptive rights and another on the re-issuance of repurchased shares. Opposition centred on the fact that, taken together, the two resolutions would allow the Board to issue more than 10% of share capital</w:t>
      </w:r>
      <w:r>
        <w:rPr>
          <w:rFonts w:ascii="Verdana" w:hAnsi="Verdana"/>
          <w:color w:val="183850" w:themeColor="text1"/>
          <w:sz w:val="20"/>
          <w:szCs w:val="20"/>
        </w:rPr>
        <w:t>.</w:t>
      </w:r>
      <w:r w:rsidRPr="00747B19">
        <w:rPr>
          <w:rFonts w:ascii="Verdana" w:hAnsi="Verdana"/>
          <w:color w:val="183850" w:themeColor="text1"/>
          <w:sz w:val="20"/>
          <w:szCs w:val="20"/>
        </w:rPr>
        <w:t xml:space="preserve"> ISS advice is that the aggregate share issuance limit (inclusive of share reissuance limit, if any) should be no more than 10 percent. </w:t>
      </w:r>
      <w:r>
        <w:rPr>
          <w:rFonts w:ascii="Verdana" w:hAnsi="Verdana"/>
          <w:color w:val="183850" w:themeColor="text1"/>
          <w:sz w:val="20"/>
          <w:szCs w:val="20"/>
        </w:rPr>
        <w:t>Pre-emption gives</w:t>
      </w:r>
      <w:r w:rsidRPr="00747B19">
        <w:rPr>
          <w:rFonts w:ascii="Verdana" w:hAnsi="Verdana"/>
          <w:color w:val="183850" w:themeColor="text1"/>
          <w:sz w:val="20"/>
          <w:szCs w:val="20"/>
        </w:rPr>
        <w:t xml:space="preserve"> existing shareholders </w:t>
      </w:r>
      <w:r>
        <w:rPr>
          <w:rFonts w:ascii="Verdana" w:hAnsi="Verdana"/>
          <w:color w:val="183850" w:themeColor="text1"/>
          <w:sz w:val="20"/>
          <w:szCs w:val="20"/>
        </w:rPr>
        <w:t xml:space="preserve">preferential status, often conferring </w:t>
      </w:r>
      <w:r w:rsidRPr="00747B19">
        <w:rPr>
          <w:rFonts w:ascii="Verdana" w:hAnsi="Verdana"/>
          <w:color w:val="183850" w:themeColor="text1"/>
          <w:sz w:val="20"/>
          <w:szCs w:val="20"/>
        </w:rPr>
        <w:t>the right</w:t>
      </w:r>
      <w:r>
        <w:rPr>
          <w:rFonts w:ascii="Verdana" w:hAnsi="Verdana"/>
          <w:color w:val="183850" w:themeColor="text1"/>
          <w:sz w:val="20"/>
          <w:szCs w:val="20"/>
        </w:rPr>
        <w:t xml:space="preserve"> to</w:t>
      </w:r>
      <w:r w:rsidRPr="00747B19">
        <w:rPr>
          <w:rFonts w:ascii="Verdana" w:hAnsi="Verdana"/>
          <w:color w:val="183850" w:themeColor="text1"/>
          <w:sz w:val="20"/>
          <w:szCs w:val="20"/>
        </w:rPr>
        <w:t xml:space="preserve"> purchas</w:t>
      </w:r>
      <w:r>
        <w:rPr>
          <w:rFonts w:ascii="Verdana" w:hAnsi="Verdana"/>
          <w:color w:val="183850" w:themeColor="text1"/>
          <w:sz w:val="20"/>
          <w:szCs w:val="20"/>
        </w:rPr>
        <w:t>e</w:t>
      </w:r>
      <w:r w:rsidRPr="00747B19">
        <w:rPr>
          <w:rFonts w:ascii="Verdana" w:hAnsi="Verdana"/>
          <w:color w:val="183850" w:themeColor="text1"/>
          <w:sz w:val="20"/>
          <w:szCs w:val="20"/>
        </w:rPr>
        <w:t xml:space="preserve"> additional shares in </w:t>
      </w:r>
      <w:r>
        <w:rPr>
          <w:rFonts w:ascii="Verdana" w:hAnsi="Verdana"/>
          <w:color w:val="183850" w:themeColor="text1"/>
          <w:sz w:val="20"/>
          <w:szCs w:val="20"/>
        </w:rPr>
        <w:t>a</w:t>
      </w:r>
      <w:r w:rsidRPr="00747B19">
        <w:rPr>
          <w:rFonts w:ascii="Verdana" w:hAnsi="Verdana"/>
          <w:color w:val="183850" w:themeColor="text1"/>
          <w:sz w:val="20"/>
          <w:szCs w:val="20"/>
        </w:rPr>
        <w:t xml:space="preserve"> company </w:t>
      </w:r>
      <w:r>
        <w:rPr>
          <w:rFonts w:ascii="Verdana" w:hAnsi="Verdana"/>
          <w:color w:val="183850" w:themeColor="text1"/>
          <w:sz w:val="20"/>
          <w:szCs w:val="20"/>
        </w:rPr>
        <w:t>before</w:t>
      </w:r>
      <w:r w:rsidRPr="00747B19">
        <w:rPr>
          <w:rFonts w:ascii="Verdana" w:hAnsi="Verdana"/>
          <w:color w:val="183850" w:themeColor="text1"/>
          <w:sz w:val="20"/>
          <w:szCs w:val="20"/>
        </w:rPr>
        <w:t xml:space="preserve"> </w:t>
      </w:r>
      <w:r>
        <w:rPr>
          <w:rFonts w:ascii="Verdana" w:hAnsi="Verdana"/>
          <w:color w:val="183850" w:themeColor="text1"/>
          <w:sz w:val="20"/>
          <w:szCs w:val="20"/>
        </w:rPr>
        <w:t>these</w:t>
      </w:r>
      <w:r w:rsidRPr="00747B19">
        <w:rPr>
          <w:rFonts w:ascii="Verdana" w:hAnsi="Verdana"/>
          <w:color w:val="183850" w:themeColor="text1"/>
          <w:sz w:val="20"/>
          <w:szCs w:val="20"/>
        </w:rPr>
        <w:t xml:space="preserve"> </w:t>
      </w:r>
      <w:r>
        <w:rPr>
          <w:rFonts w:ascii="Verdana" w:hAnsi="Verdana"/>
          <w:color w:val="183850" w:themeColor="text1"/>
          <w:sz w:val="20"/>
          <w:szCs w:val="20"/>
        </w:rPr>
        <w:t>are</w:t>
      </w:r>
      <w:r w:rsidRPr="00747B19">
        <w:rPr>
          <w:rFonts w:ascii="Verdana" w:hAnsi="Verdana"/>
          <w:color w:val="183850" w:themeColor="text1"/>
          <w:sz w:val="20"/>
          <w:szCs w:val="20"/>
        </w:rPr>
        <w:t xml:space="preserve"> made available for</w:t>
      </w:r>
      <w:r>
        <w:rPr>
          <w:rFonts w:ascii="Verdana" w:hAnsi="Verdana"/>
          <w:color w:val="183850" w:themeColor="text1"/>
          <w:sz w:val="20"/>
          <w:szCs w:val="20"/>
        </w:rPr>
        <w:t xml:space="preserve"> purchase by the general public</w:t>
      </w:r>
      <w:r w:rsidRPr="00747B19">
        <w:rPr>
          <w:rFonts w:ascii="Verdana" w:hAnsi="Verdana"/>
          <w:color w:val="183850" w:themeColor="text1"/>
          <w:sz w:val="20"/>
          <w:szCs w:val="20"/>
        </w:rPr>
        <w:t>.</w:t>
      </w:r>
    </w:p>
    <w:p w:rsidR="009E3B59" w:rsidRPr="00692968" w:rsidRDefault="00103315" w:rsidP="009E3B59">
      <w:pPr>
        <w:rPr>
          <w:rFonts w:ascii="Verdana" w:hAnsi="Verdana"/>
          <w:color w:val="183850" w:themeColor="text1"/>
          <w:sz w:val="20"/>
          <w:szCs w:val="20"/>
        </w:rPr>
      </w:pPr>
      <w:r w:rsidRPr="00692968">
        <w:rPr>
          <w:rFonts w:ascii="Verdana" w:hAnsi="Verdana"/>
          <w:color w:val="183850" w:themeColor="text1"/>
          <w:sz w:val="20"/>
          <w:szCs w:val="20"/>
        </w:rPr>
        <w:t xml:space="preserve">In Q3 LPP supported 3 shareholder resolutions at 2 AGMs (against the advice of management). These were as follows: </w:t>
      </w:r>
    </w:p>
    <w:p w:rsidR="009E3B59" w:rsidRPr="00355750" w:rsidRDefault="00103315" w:rsidP="009E3B59">
      <w:pPr>
        <w:rPr>
          <w:rFonts w:ascii="Verdana" w:hAnsi="Verdana"/>
          <w:snapToGrid w:val="0"/>
          <w:color w:val="183850" w:themeColor="text1"/>
          <w:sz w:val="20"/>
          <w:szCs w:val="20"/>
          <w:u w:val="single"/>
        </w:rPr>
      </w:pPr>
      <w:r w:rsidRPr="00355750">
        <w:rPr>
          <w:rFonts w:ascii="Verdana" w:hAnsi="Verdana"/>
          <w:snapToGrid w:val="0"/>
          <w:color w:val="183850" w:themeColor="text1"/>
          <w:sz w:val="20"/>
          <w:szCs w:val="20"/>
          <w:u w:val="single"/>
        </w:rPr>
        <w:t>Environmental</w:t>
      </w:r>
    </w:p>
    <w:p w:rsidR="009E3B59" w:rsidRPr="00692968" w:rsidRDefault="00103315" w:rsidP="009E3B59">
      <w:pPr>
        <w:rPr>
          <w:rFonts w:ascii="Verdana" w:hAnsi="Verdana"/>
          <w:color w:val="183850" w:themeColor="text1"/>
          <w:sz w:val="20"/>
          <w:szCs w:val="20"/>
        </w:rPr>
      </w:pPr>
      <w:r w:rsidRPr="00692968">
        <w:rPr>
          <w:rFonts w:ascii="Verdana" w:hAnsi="Verdana"/>
          <w:b/>
          <w:color w:val="183850" w:themeColor="text1"/>
          <w:sz w:val="20"/>
          <w:szCs w:val="20"/>
        </w:rPr>
        <w:t>Saputo</w:t>
      </w:r>
      <w:r w:rsidRPr="00692968">
        <w:rPr>
          <w:rFonts w:ascii="Verdana" w:hAnsi="Verdana"/>
          <w:color w:val="183850" w:themeColor="text1"/>
          <w:sz w:val="20"/>
          <w:szCs w:val="20"/>
        </w:rPr>
        <w:t xml:space="preserve"> (packaged foods &amp; meats) – LPP supported a shareholder proposal that the Company disclose how it incorporates environmental objectives into the evaluation of the performance of its executive officers. </w:t>
      </w:r>
    </w:p>
    <w:p w:rsidR="009E3B59" w:rsidRPr="00692968" w:rsidRDefault="00103315" w:rsidP="009E3B59">
      <w:pPr>
        <w:rPr>
          <w:rFonts w:ascii="Verdana" w:hAnsi="Verdana"/>
          <w:color w:val="183850" w:themeColor="text1"/>
          <w:sz w:val="20"/>
          <w:szCs w:val="20"/>
        </w:rPr>
      </w:pPr>
      <w:r w:rsidRPr="00692968">
        <w:rPr>
          <w:rFonts w:ascii="Verdana" w:hAnsi="Verdana"/>
          <w:color w:val="183850" w:themeColor="text1"/>
          <w:sz w:val="20"/>
          <w:szCs w:val="20"/>
        </w:rPr>
        <w:t>The proposal failed, 24 % of votes were in favour.</w:t>
      </w:r>
    </w:p>
    <w:p w:rsidR="009E3B59" w:rsidRPr="00692968" w:rsidRDefault="00103315" w:rsidP="009E3B59">
      <w:pPr>
        <w:rPr>
          <w:rFonts w:ascii="Verdana" w:hAnsi="Verdana"/>
          <w:color w:val="183850" w:themeColor="text1"/>
          <w:sz w:val="20"/>
          <w:szCs w:val="20"/>
        </w:rPr>
      </w:pPr>
      <w:r w:rsidRPr="00692968">
        <w:rPr>
          <w:rFonts w:ascii="Verdana" w:hAnsi="Verdana"/>
          <w:b/>
          <w:color w:val="183850" w:themeColor="text1"/>
          <w:sz w:val="20"/>
          <w:szCs w:val="20"/>
        </w:rPr>
        <w:t>Darden Restaurants Inc</w:t>
      </w:r>
      <w:r w:rsidRPr="00692968">
        <w:rPr>
          <w:rFonts w:ascii="Verdana" w:hAnsi="Verdana"/>
          <w:color w:val="183850" w:themeColor="text1"/>
          <w:sz w:val="20"/>
          <w:szCs w:val="20"/>
        </w:rPr>
        <w:t>. – LPP supported a shareholder proposal that Darden Restaurants adopt an enterprise-wide policy to phase out routine uses of medically important antibiotics in meat and poultry sources, and report to shareholders on the potential timetable and measures for implementing the policy.</w:t>
      </w:r>
    </w:p>
    <w:p w:rsidR="009E3B59" w:rsidRPr="009E3B59" w:rsidRDefault="00103315" w:rsidP="009E3B59">
      <w:pPr>
        <w:rPr>
          <w:rFonts w:ascii="Verdana" w:hAnsi="Verdana"/>
          <w:sz w:val="20"/>
          <w:szCs w:val="20"/>
          <w:lang w:val="en-US"/>
        </w:rPr>
      </w:pPr>
      <w:r w:rsidRPr="00692968">
        <w:rPr>
          <w:rFonts w:ascii="Verdana" w:hAnsi="Verdana"/>
          <w:color w:val="183850" w:themeColor="text1"/>
          <w:sz w:val="20"/>
          <w:szCs w:val="20"/>
        </w:rPr>
        <w:t>The proposal failed, 13 % of votes were in favour</w:t>
      </w:r>
      <w:r w:rsidRPr="009E3B59">
        <w:rPr>
          <w:rFonts w:ascii="Verdana" w:hAnsi="Verdana"/>
          <w:sz w:val="20"/>
          <w:szCs w:val="20"/>
          <w:lang w:val="en-US"/>
        </w:rPr>
        <w:t>.</w:t>
      </w:r>
    </w:p>
    <w:p w:rsidR="009E3B59" w:rsidRPr="00692968" w:rsidRDefault="00103315" w:rsidP="009E3B59">
      <w:pPr>
        <w:rPr>
          <w:rFonts w:ascii="Verdana" w:hAnsi="Verdana"/>
          <w:color w:val="183850" w:themeColor="text1"/>
          <w:sz w:val="20"/>
          <w:szCs w:val="20"/>
          <w:u w:val="single"/>
        </w:rPr>
      </w:pPr>
      <w:r w:rsidRPr="00692968">
        <w:rPr>
          <w:rFonts w:ascii="Verdana" w:hAnsi="Verdana"/>
          <w:color w:val="183850" w:themeColor="text1"/>
          <w:sz w:val="20"/>
          <w:szCs w:val="20"/>
          <w:u w:val="single"/>
        </w:rPr>
        <w:t xml:space="preserve">Corporate Governance </w:t>
      </w:r>
    </w:p>
    <w:p w:rsidR="009E3B59" w:rsidRPr="00692968" w:rsidRDefault="00103315" w:rsidP="009E3B59">
      <w:pPr>
        <w:rPr>
          <w:rFonts w:ascii="Verdana" w:hAnsi="Verdana"/>
          <w:color w:val="183850" w:themeColor="text1"/>
          <w:sz w:val="20"/>
          <w:szCs w:val="20"/>
        </w:rPr>
      </w:pPr>
      <w:r w:rsidRPr="00692968">
        <w:rPr>
          <w:rFonts w:ascii="Verdana" w:hAnsi="Verdana"/>
          <w:b/>
          <w:color w:val="183850" w:themeColor="text1"/>
          <w:sz w:val="20"/>
          <w:szCs w:val="20"/>
        </w:rPr>
        <w:t>Saputo</w:t>
      </w:r>
      <w:r w:rsidRPr="00692968">
        <w:rPr>
          <w:rFonts w:ascii="Verdana" w:hAnsi="Verdana"/>
          <w:color w:val="183850" w:themeColor="text1"/>
          <w:sz w:val="20"/>
          <w:szCs w:val="20"/>
        </w:rPr>
        <w:t xml:space="preserve"> (packaged foods &amp; meats) – LPP supported a shareholder proposal that the board of directors adopt a policy for the implementation of an advisory vote on executive compensation. </w:t>
      </w:r>
    </w:p>
    <w:p w:rsidR="009E3B59" w:rsidRPr="00692968" w:rsidRDefault="00103315" w:rsidP="00747B19">
      <w:pPr>
        <w:rPr>
          <w:rFonts w:ascii="Verdana" w:hAnsi="Verdana"/>
          <w:color w:val="183850" w:themeColor="text1"/>
          <w:sz w:val="20"/>
          <w:szCs w:val="20"/>
        </w:rPr>
      </w:pPr>
      <w:r w:rsidRPr="00692968">
        <w:rPr>
          <w:rFonts w:ascii="Verdana" w:hAnsi="Verdana"/>
          <w:color w:val="183850" w:themeColor="text1"/>
          <w:sz w:val="20"/>
          <w:szCs w:val="20"/>
        </w:rPr>
        <w:t xml:space="preserve">The proposal failed, 31 % of votes were in favour. </w:t>
      </w:r>
    </w:p>
    <w:p w:rsidR="00626882" w:rsidRPr="00692968" w:rsidRDefault="00103315" w:rsidP="00692968">
      <w:pPr>
        <w:rPr>
          <w:rFonts w:ascii="Verdana" w:hAnsi="Verdana"/>
          <w:color w:val="183850" w:themeColor="text1"/>
          <w:sz w:val="20"/>
          <w:szCs w:val="20"/>
        </w:rPr>
      </w:pPr>
      <w:r w:rsidRPr="00692968">
        <w:rPr>
          <w:rFonts w:ascii="Verdana" w:hAnsi="Verdana"/>
          <w:color w:val="183850" w:themeColor="text1"/>
          <w:sz w:val="20"/>
          <w:szCs w:val="20"/>
        </w:rPr>
        <w:t xml:space="preserve">Members are able to view details of voting for all meetings via the LPP website where quarterly reports for the GEF are made publicly available. </w:t>
      </w:r>
    </w:p>
    <w:p w:rsidR="00B7162D" w:rsidRPr="00692968" w:rsidRDefault="00302DFD" w:rsidP="00692968">
      <w:pPr>
        <w:rPr>
          <w:rFonts w:ascii="Verdana" w:hAnsi="Verdana"/>
          <w:color w:val="183850" w:themeColor="text1"/>
          <w:sz w:val="20"/>
          <w:szCs w:val="20"/>
        </w:rPr>
      </w:pPr>
      <w:hyperlink r:id="rId9" w:history="1">
        <w:r w:rsidR="00103315" w:rsidRPr="00692968">
          <w:rPr>
            <w:rFonts w:ascii="Verdana" w:hAnsi="Verdana"/>
            <w:color w:val="183850" w:themeColor="text1"/>
            <w:sz w:val="20"/>
            <w:szCs w:val="20"/>
          </w:rPr>
          <w:t>https://www.localpensionspartnership.org.uk/what-we-do/investment-management</w:t>
        </w:r>
      </w:hyperlink>
    </w:p>
    <w:p w:rsidR="00497FA5" w:rsidRPr="00F23661" w:rsidRDefault="00302DFD" w:rsidP="003B4083">
      <w:pPr>
        <w:pStyle w:val="treb"/>
        <w:numPr>
          <w:ilvl w:val="0"/>
          <w:numId w:val="0"/>
        </w:numPr>
        <w:spacing w:after="0"/>
        <w:rPr>
          <w:rFonts w:ascii="Verdana" w:hAnsi="Verdana"/>
          <w:color w:val="54BBAB" w:themeColor="text2"/>
          <w:sz w:val="20"/>
          <w:szCs w:val="20"/>
        </w:rPr>
      </w:pPr>
    </w:p>
    <w:p w:rsidR="00197BA3" w:rsidRPr="00F23661" w:rsidRDefault="00103315"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302DFD"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8103F0" w:rsidRDefault="00103315" w:rsidP="003B4083">
      <w:pPr>
        <w:spacing w:after="0"/>
        <w:rPr>
          <w:rFonts w:ascii="Verdana" w:hAnsi="Verdana"/>
          <w:bCs/>
          <w:color w:val="183850" w:themeColor="text1"/>
          <w:sz w:val="20"/>
          <w:szCs w:val="20"/>
        </w:rPr>
      </w:pPr>
      <w:r w:rsidRPr="008103F0">
        <w:rPr>
          <w:rFonts w:ascii="Verdana" w:hAnsi="Verdana"/>
          <w:bCs/>
          <w:color w:val="183850" w:themeColor="text1"/>
          <w:sz w:val="20"/>
          <w:szCs w:val="20"/>
        </w:rPr>
        <w:t xml:space="preserve">LPP I regularly participates in collaborations which </w:t>
      </w:r>
      <w:r>
        <w:rPr>
          <w:rFonts w:ascii="Verdana" w:hAnsi="Verdana"/>
          <w:bCs/>
          <w:color w:val="183850" w:themeColor="text1"/>
          <w:sz w:val="20"/>
          <w:szCs w:val="20"/>
        </w:rPr>
        <w:t xml:space="preserve">aim to </w:t>
      </w:r>
      <w:r w:rsidRPr="008103F0">
        <w:rPr>
          <w:rFonts w:ascii="Verdana" w:hAnsi="Verdana"/>
          <w:bCs/>
          <w:color w:val="183850" w:themeColor="text1"/>
          <w:sz w:val="20"/>
          <w:szCs w:val="20"/>
        </w:rPr>
        <w:t xml:space="preserve">make progress on </w:t>
      </w:r>
      <w:r>
        <w:rPr>
          <w:rFonts w:ascii="Verdana" w:hAnsi="Verdana"/>
          <w:bCs/>
          <w:color w:val="183850" w:themeColor="text1"/>
          <w:sz w:val="20"/>
          <w:szCs w:val="20"/>
        </w:rPr>
        <w:t xml:space="preserve">commonly held </w:t>
      </w:r>
      <w:r w:rsidRPr="008103F0">
        <w:rPr>
          <w:rFonts w:ascii="Verdana" w:hAnsi="Verdana"/>
          <w:bCs/>
          <w:color w:val="183850" w:themeColor="text1"/>
          <w:sz w:val="20"/>
          <w:szCs w:val="20"/>
        </w:rPr>
        <w:t xml:space="preserve">issues </w:t>
      </w:r>
      <w:r>
        <w:rPr>
          <w:rFonts w:ascii="Verdana" w:hAnsi="Verdana"/>
          <w:bCs/>
          <w:color w:val="183850" w:themeColor="text1"/>
          <w:sz w:val="20"/>
          <w:szCs w:val="20"/>
        </w:rPr>
        <w:t>and</w:t>
      </w:r>
      <w:r w:rsidRPr="0054100C">
        <w:rPr>
          <w:rFonts w:ascii="Verdana" w:hAnsi="Verdana"/>
          <w:bCs/>
          <w:color w:val="183850" w:themeColor="text1"/>
          <w:sz w:val="20"/>
          <w:szCs w:val="20"/>
        </w:rPr>
        <w:t xml:space="preserve"> </w:t>
      </w:r>
      <w:r>
        <w:rPr>
          <w:rFonts w:ascii="Verdana" w:hAnsi="Verdana"/>
          <w:bCs/>
          <w:color w:val="183850" w:themeColor="text1"/>
          <w:sz w:val="20"/>
          <w:szCs w:val="20"/>
        </w:rPr>
        <w:t xml:space="preserve">both </w:t>
      </w:r>
      <w:r w:rsidRPr="008103F0">
        <w:rPr>
          <w:rFonts w:ascii="Verdana" w:hAnsi="Verdana"/>
          <w:bCs/>
          <w:color w:val="183850" w:themeColor="text1"/>
          <w:sz w:val="20"/>
          <w:szCs w:val="20"/>
        </w:rPr>
        <w:t xml:space="preserve">represent </w:t>
      </w:r>
      <w:r>
        <w:rPr>
          <w:rFonts w:ascii="Verdana" w:hAnsi="Verdana"/>
          <w:bCs/>
          <w:color w:val="183850" w:themeColor="text1"/>
          <w:sz w:val="20"/>
          <w:szCs w:val="20"/>
        </w:rPr>
        <w:t xml:space="preserve">and augment </w:t>
      </w:r>
      <w:r w:rsidRPr="008103F0">
        <w:rPr>
          <w:rFonts w:ascii="Verdana" w:hAnsi="Verdana"/>
          <w:bCs/>
          <w:color w:val="183850" w:themeColor="text1"/>
          <w:sz w:val="20"/>
          <w:szCs w:val="20"/>
        </w:rPr>
        <w:t xml:space="preserve">the collective </w:t>
      </w:r>
      <w:r>
        <w:rPr>
          <w:rFonts w:ascii="Verdana" w:hAnsi="Verdana"/>
          <w:bCs/>
          <w:color w:val="183850" w:themeColor="text1"/>
          <w:sz w:val="20"/>
          <w:szCs w:val="20"/>
        </w:rPr>
        <w:t>influence</w:t>
      </w:r>
      <w:r w:rsidRPr="008103F0">
        <w:rPr>
          <w:rFonts w:ascii="Verdana" w:hAnsi="Verdana"/>
          <w:bCs/>
          <w:color w:val="183850" w:themeColor="text1"/>
          <w:sz w:val="20"/>
          <w:szCs w:val="20"/>
        </w:rPr>
        <w:t xml:space="preserve"> of institutional investors. Key partners include the Local Authority Pensions Fund Forum (LAPFF) the Pensions and Lifetime Savings Association (PLSA) the Principles of Responsible Investment (PRI) the Institutional Investor Group on Climate Change (IIGCC)</w:t>
      </w:r>
      <w:r>
        <w:rPr>
          <w:rFonts w:ascii="Verdana" w:hAnsi="Verdana"/>
          <w:bCs/>
          <w:color w:val="183850" w:themeColor="text1"/>
          <w:sz w:val="20"/>
          <w:szCs w:val="20"/>
        </w:rPr>
        <w:t xml:space="preserve"> and the UK Pension Fund RI Roundtable</w:t>
      </w:r>
      <w:r w:rsidRPr="008103F0">
        <w:rPr>
          <w:rFonts w:ascii="Verdana" w:hAnsi="Verdana"/>
          <w:bCs/>
          <w:color w:val="183850" w:themeColor="text1"/>
          <w:sz w:val="20"/>
          <w:szCs w:val="20"/>
        </w:rPr>
        <w:t>.</w:t>
      </w:r>
    </w:p>
    <w:p w:rsidR="00626882" w:rsidRPr="008103F0" w:rsidRDefault="00302DFD" w:rsidP="003B4083">
      <w:pPr>
        <w:spacing w:after="0"/>
        <w:rPr>
          <w:rFonts w:ascii="Verdana" w:hAnsi="Verdana"/>
          <w:bCs/>
          <w:color w:val="183850" w:themeColor="text1"/>
          <w:sz w:val="20"/>
          <w:szCs w:val="20"/>
        </w:rPr>
      </w:pPr>
    </w:p>
    <w:p w:rsidR="00705972" w:rsidRPr="008103F0" w:rsidRDefault="00103315" w:rsidP="003B4083">
      <w:pPr>
        <w:spacing w:after="0"/>
        <w:rPr>
          <w:rFonts w:ascii="Verdana" w:hAnsi="Verdana"/>
          <w:b/>
          <w:bCs/>
          <w:color w:val="183850" w:themeColor="text1"/>
          <w:sz w:val="20"/>
          <w:szCs w:val="20"/>
        </w:rPr>
      </w:pPr>
      <w:r w:rsidRPr="008103F0">
        <w:rPr>
          <w:rFonts w:ascii="Verdana" w:hAnsi="Verdana"/>
          <w:b/>
          <w:bCs/>
          <w:color w:val="183850" w:themeColor="text1"/>
          <w:sz w:val="20"/>
          <w:szCs w:val="20"/>
        </w:rPr>
        <w:t>LAPFF</w:t>
      </w:r>
    </w:p>
    <w:p w:rsidR="00355750" w:rsidRDefault="00103315" w:rsidP="00B7162D">
      <w:pPr>
        <w:pStyle w:val="ListParagraph"/>
        <w:spacing w:after="0"/>
        <w:ind w:left="0"/>
        <w:jc w:val="both"/>
        <w:rPr>
          <w:rFonts w:ascii="Verdana" w:hAnsi="Verdana" w:cs="Arial"/>
          <w:bCs/>
          <w:color w:val="183850" w:themeColor="text1"/>
          <w:sz w:val="20"/>
          <w:szCs w:val="20"/>
        </w:rPr>
      </w:pPr>
      <w:r w:rsidRPr="008103F0">
        <w:rPr>
          <w:rFonts w:ascii="Verdana" w:hAnsi="Verdana"/>
          <w:bCs/>
          <w:color w:val="183850" w:themeColor="text1"/>
          <w:sz w:val="20"/>
          <w:szCs w:val="20"/>
        </w:rPr>
        <w:t xml:space="preserve">LAPFF has </w:t>
      </w:r>
      <w:r>
        <w:rPr>
          <w:rFonts w:ascii="Verdana" w:hAnsi="Verdana"/>
          <w:bCs/>
          <w:color w:val="183850" w:themeColor="text1"/>
          <w:sz w:val="20"/>
          <w:szCs w:val="20"/>
        </w:rPr>
        <w:t>long</w:t>
      </w:r>
      <w:r w:rsidRPr="008103F0">
        <w:rPr>
          <w:rFonts w:ascii="Verdana" w:hAnsi="Verdana"/>
          <w:bCs/>
          <w:color w:val="183850" w:themeColor="text1"/>
          <w:sz w:val="20"/>
          <w:szCs w:val="20"/>
        </w:rPr>
        <w:t xml:space="preserve"> been LCPF's preferred engagement partne</w:t>
      </w:r>
      <w:r>
        <w:rPr>
          <w:rFonts w:ascii="Verdana" w:hAnsi="Verdana"/>
          <w:bCs/>
          <w:color w:val="183850" w:themeColor="text1"/>
          <w:sz w:val="20"/>
          <w:szCs w:val="20"/>
        </w:rPr>
        <w:t>r and</w:t>
      </w:r>
      <w:r w:rsidRPr="008103F0">
        <w:rPr>
          <w:rFonts w:ascii="Verdana" w:hAnsi="Verdana"/>
          <w:bCs/>
          <w:color w:val="183850" w:themeColor="text1"/>
          <w:sz w:val="20"/>
          <w:szCs w:val="20"/>
        </w:rPr>
        <w:t xml:space="preserve"> </w:t>
      </w:r>
      <w:r>
        <w:rPr>
          <w:rFonts w:ascii="Verdana" w:hAnsi="Verdana"/>
          <w:bCs/>
          <w:color w:val="183850" w:themeColor="text1"/>
          <w:sz w:val="20"/>
          <w:szCs w:val="20"/>
        </w:rPr>
        <w:t>r</w:t>
      </w:r>
      <w:r>
        <w:rPr>
          <w:rFonts w:ascii="Verdana" w:hAnsi="Verdana" w:cs="Arial"/>
          <w:bCs/>
          <w:color w:val="183850" w:themeColor="text1"/>
          <w:sz w:val="20"/>
          <w:szCs w:val="20"/>
        </w:rPr>
        <w:t xml:space="preserve">ecently the Fund nominated its Governance &amp; Risk Officer as a key contact for future interactions with LAPFF. This is a decision which will encourage a more direct relationship with the Forum, rather than one which is primarily maintained by LPP I.  </w:t>
      </w:r>
    </w:p>
    <w:p w:rsidR="00355750" w:rsidRDefault="00302DFD" w:rsidP="00B7162D">
      <w:pPr>
        <w:pStyle w:val="ListParagraph"/>
        <w:spacing w:after="0"/>
        <w:ind w:left="0"/>
        <w:jc w:val="both"/>
        <w:rPr>
          <w:rFonts w:ascii="Verdana" w:hAnsi="Verdana" w:cs="Arial"/>
          <w:bCs/>
          <w:color w:val="183850" w:themeColor="text1"/>
          <w:sz w:val="20"/>
          <w:szCs w:val="20"/>
        </w:rPr>
      </w:pPr>
    </w:p>
    <w:p w:rsidR="003540B0" w:rsidRPr="00B67A56" w:rsidRDefault="00103315" w:rsidP="003540B0">
      <w:pPr>
        <w:widowControl w:val="0"/>
        <w:spacing w:after="0"/>
        <w:outlineLvl w:val="0"/>
        <w:rPr>
          <w:rFonts w:ascii="Verdana" w:hAnsi="Verdana"/>
          <w:bCs/>
          <w:color w:val="183850" w:themeColor="text1"/>
          <w:sz w:val="20"/>
          <w:szCs w:val="20"/>
        </w:rPr>
      </w:pPr>
      <w:r w:rsidRPr="00B67A56">
        <w:rPr>
          <w:rFonts w:ascii="Verdana" w:eastAsia="Times New Roman" w:hAnsi="Verdana"/>
          <w:bCs/>
          <w:color w:val="183850" w:themeColor="text1"/>
          <w:sz w:val="20"/>
          <w:szCs w:val="20"/>
        </w:rPr>
        <w:t xml:space="preserve">LAPFF's most recent quarterly Business Meeting took place on </w:t>
      </w:r>
      <w:r>
        <w:rPr>
          <w:rFonts w:ascii="Verdana" w:eastAsia="Times New Roman" w:hAnsi="Verdana"/>
          <w:bCs/>
          <w:color w:val="183850" w:themeColor="text1"/>
          <w:sz w:val="20"/>
          <w:szCs w:val="20"/>
        </w:rPr>
        <w:t xml:space="preserve">27 October </w:t>
      </w:r>
      <w:r w:rsidRPr="00B67A56">
        <w:rPr>
          <w:rFonts w:ascii="Verdana" w:hAnsi="Verdana"/>
          <w:bCs/>
          <w:color w:val="183850" w:themeColor="text1"/>
          <w:sz w:val="20"/>
          <w:szCs w:val="20"/>
        </w:rPr>
        <w:t>2017</w:t>
      </w:r>
      <w:r>
        <w:rPr>
          <w:rFonts w:ascii="Verdana" w:hAnsi="Verdana"/>
          <w:bCs/>
          <w:color w:val="183850" w:themeColor="text1"/>
          <w:sz w:val="20"/>
          <w:szCs w:val="20"/>
        </w:rPr>
        <w:t xml:space="preserve">. The Fund was represented </w:t>
      </w:r>
      <w:r w:rsidRPr="00B67A56">
        <w:rPr>
          <w:rFonts w:ascii="Verdana" w:hAnsi="Verdana"/>
          <w:bCs/>
          <w:color w:val="183850" w:themeColor="text1"/>
          <w:sz w:val="20"/>
          <w:szCs w:val="20"/>
        </w:rPr>
        <w:t xml:space="preserve">by the </w:t>
      </w:r>
      <w:r>
        <w:rPr>
          <w:rFonts w:ascii="Verdana" w:hAnsi="Verdana"/>
          <w:bCs/>
          <w:color w:val="183850" w:themeColor="text1"/>
          <w:sz w:val="20"/>
          <w:szCs w:val="20"/>
        </w:rPr>
        <w:t xml:space="preserve">Governance and Risk Officer and County Councillor Charles Edwards. </w:t>
      </w:r>
      <w:r w:rsidRPr="00B67A56">
        <w:rPr>
          <w:rFonts w:ascii="Verdana" w:hAnsi="Verdana"/>
          <w:bCs/>
          <w:color w:val="183850" w:themeColor="text1"/>
          <w:sz w:val="20"/>
          <w:szCs w:val="20"/>
        </w:rPr>
        <w:t>H</w:t>
      </w:r>
      <w:r w:rsidRPr="00B67A56">
        <w:rPr>
          <w:rFonts w:ascii="Verdana" w:hAnsi="Verdana" w:cs="Verdana"/>
          <w:color w:val="183850" w:themeColor="text1"/>
          <w:sz w:val="20"/>
          <w:szCs w:val="20"/>
        </w:rPr>
        <w:t>eadlines from the meeting included the following matters:</w:t>
      </w:r>
    </w:p>
    <w:p w:rsidR="00940A32" w:rsidRDefault="00302DFD" w:rsidP="00B7162D">
      <w:pPr>
        <w:pStyle w:val="ListParagraph"/>
        <w:spacing w:after="0"/>
        <w:ind w:left="0"/>
        <w:jc w:val="both"/>
        <w:rPr>
          <w:rFonts w:ascii="Verdana" w:hAnsi="Verdana" w:cs="Arial"/>
          <w:b/>
          <w:bCs/>
          <w:color w:val="183850" w:themeColor="text1"/>
          <w:sz w:val="20"/>
          <w:szCs w:val="20"/>
        </w:rPr>
      </w:pPr>
    </w:p>
    <w:p w:rsidR="00915744" w:rsidRDefault="00103315" w:rsidP="00915744">
      <w:pPr>
        <w:pStyle w:val="ListParagraph"/>
        <w:numPr>
          <w:ilvl w:val="0"/>
          <w:numId w:val="28"/>
        </w:numPr>
        <w:spacing w:after="0"/>
        <w:ind w:left="426" w:hanging="426"/>
        <w:jc w:val="both"/>
        <w:rPr>
          <w:rFonts w:ascii="Verdana" w:hAnsi="Verdana" w:cs="Arial"/>
          <w:b/>
          <w:bCs/>
          <w:color w:val="183850" w:themeColor="text1"/>
          <w:sz w:val="20"/>
          <w:szCs w:val="20"/>
        </w:rPr>
      </w:pPr>
      <w:r w:rsidRPr="00D808E5">
        <w:rPr>
          <w:rFonts w:ascii="Verdana" w:hAnsi="Verdana" w:cs="Arial"/>
          <w:b/>
          <w:bCs/>
          <w:color w:val="183850" w:themeColor="text1"/>
          <w:sz w:val="20"/>
          <w:szCs w:val="20"/>
        </w:rPr>
        <w:t>Climate Change Investment Policy Framework and Guidance</w:t>
      </w:r>
      <w:r>
        <w:rPr>
          <w:rFonts w:ascii="Verdana" w:hAnsi="Verdana" w:cs="Arial"/>
          <w:b/>
          <w:bCs/>
          <w:color w:val="183850" w:themeColor="text1"/>
          <w:sz w:val="20"/>
          <w:szCs w:val="20"/>
        </w:rPr>
        <w:t xml:space="preserve"> </w:t>
      </w:r>
    </w:p>
    <w:p w:rsidR="00910574" w:rsidRPr="000206BE" w:rsidRDefault="00103315" w:rsidP="000206BE">
      <w:pPr>
        <w:spacing w:after="0"/>
        <w:ind w:firstLine="426"/>
        <w:jc w:val="both"/>
        <w:rPr>
          <w:rFonts w:ascii="Verdana" w:hAnsi="Verdana" w:cs="Arial"/>
          <w:b/>
          <w:bCs/>
          <w:color w:val="183850" w:themeColor="text1"/>
          <w:sz w:val="20"/>
          <w:szCs w:val="20"/>
        </w:rPr>
      </w:pPr>
      <w:r w:rsidRPr="000206BE">
        <w:rPr>
          <w:rFonts w:ascii="Verdana" w:hAnsi="Verdana" w:cs="Arial"/>
          <w:b/>
          <w:bCs/>
          <w:color w:val="183850" w:themeColor="text1"/>
          <w:sz w:val="20"/>
          <w:szCs w:val="20"/>
        </w:rPr>
        <w:t>(Appendix A1)</w:t>
      </w:r>
    </w:p>
    <w:p w:rsidR="00915744" w:rsidRDefault="00302DFD" w:rsidP="00915744">
      <w:pPr>
        <w:autoSpaceDE w:val="0"/>
        <w:autoSpaceDN w:val="0"/>
        <w:adjustRightInd w:val="0"/>
        <w:spacing w:after="0"/>
        <w:rPr>
          <w:rFonts w:ascii="Verdana" w:hAnsi="Verdana" w:cs="Arial"/>
          <w:color w:val="183850" w:themeColor="text1"/>
          <w:sz w:val="20"/>
          <w:szCs w:val="20"/>
          <w:lang w:val="en-US"/>
        </w:rPr>
      </w:pPr>
    </w:p>
    <w:p w:rsidR="00D808E5" w:rsidRDefault="00103315" w:rsidP="004E5B54">
      <w:pPr>
        <w:spacing w:after="0"/>
        <w:jc w:val="both"/>
        <w:rPr>
          <w:rFonts w:ascii="Verdana" w:hAnsi="Verdana"/>
          <w:bCs/>
          <w:sz w:val="20"/>
          <w:szCs w:val="20"/>
        </w:rPr>
      </w:pPr>
      <w:r w:rsidRPr="004E5B54">
        <w:rPr>
          <w:rFonts w:ascii="Verdana" w:hAnsi="Verdana"/>
          <w:bCs/>
          <w:sz w:val="20"/>
          <w:szCs w:val="20"/>
        </w:rPr>
        <w:t xml:space="preserve">LAPFF has produced a Climate Change Investment Policy Framework and accompanying Guidance for LGPS Funds which is intended to encourage/assist them to formally identify and publish their approach to the management of climate change risk. </w:t>
      </w:r>
    </w:p>
    <w:p w:rsidR="00103315" w:rsidRPr="004E5B54" w:rsidRDefault="00103315" w:rsidP="004E5B54">
      <w:pPr>
        <w:spacing w:after="0"/>
        <w:jc w:val="both"/>
        <w:rPr>
          <w:rFonts w:ascii="Verdana" w:hAnsi="Verdana"/>
          <w:bCs/>
          <w:sz w:val="20"/>
          <w:szCs w:val="20"/>
        </w:rPr>
      </w:pPr>
    </w:p>
    <w:p w:rsidR="00C92064" w:rsidRPr="004E5B54" w:rsidRDefault="00103315" w:rsidP="004E5B54">
      <w:pPr>
        <w:spacing w:after="0"/>
        <w:jc w:val="both"/>
        <w:rPr>
          <w:rFonts w:ascii="Verdana" w:hAnsi="Verdana"/>
          <w:bCs/>
          <w:sz w:val="20"/>
          <w:szCs w:val="20"/>
        </w:rPr>
      </w:pPr>
      <w:r w:rsidRPr="004E5B54">
        <w:rPr>
          <w:rFonts w:ascii="Verdana" w:hAnsi="Verdana"/>
          <w:bCs/>
          <w:sz w:val="20"/>
          <w:szCs w:val="20"/>
        </w:rPr>
        <w:t xml:space="preserve">Following a process of consultation, feedback and review involving Forum members and the LGPS Cross Pool Collaboration Group's RI Sub-Group, final versions were presented for approval at the October Business Meeting. The Framework has subsequently been published on the LAPFF website and is publicly available. A copy appears at </w:t>
      </w:r>
      <w:r w:rsidRPr="00103315">
        <w:rPr>
          <w:rFonts w:ascii="Verdana" w:hAnsi="Verdana"/>
          <w:b/>
          <w:bCs/>
          <w:sz w:val="20"/>
          <w:szCs w:val="20"/>
        </w:rPr>
        <w:t>Appendix A1</w:t>
      </w:r>
      <w:r w:rsidRPr="004E5B54">
        <w:rPr>
          <w:rFonts w:ascii="Verdana" w:hAnsi="Verdana"/>
          <w:bCs/>
          <w:sz w:val="20"/>
          <w:szCs w:val="20"/>
        </w:rPr>
        <w:t xml:space="preserve">. </w:t>
      </w:r>
    </w:p>
    <w:p w:rsidR="00915744" w:rsidRPr="004E5B54" w:rsidRDefault="00302DFD" w:rsidP="004E5B54">
      <w:pPr>
        <w:spacing w:after="0"/>
        <w:jc w:val="both"/>
        <w:rPr>
          <w:rFonts w:ascii="Verdana" w:hAnsi="Verdana"/>
          <w:bCs/>
          <w:sz w:val="20"/>
          <w:szCs w:val="20"/>
        </w:rPr>
      </w:pPr>
    </w:p>
    <w:p w:rsidR="000206BE" w:rsidRPr="004E5B54" w:rsidRDefault="00103315" w:rsidP="004E5B54">
      <w:pPr>
        <w:spacing w:after="0"/>
        <w:jc w:val="both"/>
        <w:rPr>
          <w:rFonts w:ascii="Verdana" w:hAnsi="Verdana"/>
          <w:bCs/>
          <w:sz w:val="20"/>
          <w:szCs w:val="20"/>
        </w:rPr>
      </w:pPr>
      <w:r w:rsidRPr="004E5B54">
        <w:rPr>
          <w:rFonts w:ascii="Verdana" w:hAnsi="Verdana"/>
          <w:bCs/>
          <w:sz w:val="20"/>
          <w:szCs w:val="20"/>
        </w:rPr>
        <w:t>The Framework is deliberately focused on best practice and includes caveats that LGPS Funds at an early stage of recognising climate change as an investment risk will initially need to identify what is realistic and attainable whilst working towards more the more comprehensive standards recommended.  The Framework provides model wording for inclusion in Policy statements and is also a good source of guidanc</w:t>
      </w:r>
      <w:r>
        <w:rPr>
          <w:rFonts w:ascii="Verdana" w:hAnsi="Verdana"/>
          <w:bCs/>
          <w:sz w:val="20"/>
          <w:szCs w:val="20"/>
        </w:rPr>
        <w:t>e and information</w:t>
      </w:r>
      <w:r w:rsidRPr="004E5B54">
        <w:rPr>
          <w:rFonts w:ascii="Verdana" w:hAnsi="Verdana"/>
          <w:bCs/>
          <w:sz w:val="20"/>
          <w:szCs w:val="20"/>
        </w:rPr>
        <w:t xml:space="preserve">, providing insight on </w:t>
      </w:r>
      <w:r>
        <w:rPr>
          <w:rFonts w:ascii="Verdana" w:hAnsi="Verdana"/>
          <w:bCs/>
          <w:sz w:val="20"/>
          <w:szCs w:val="20"/>
        </w:rPr>
        <w:t xml:space="preserve">some </w:t>
      </w:r>
      <w:r w:rsidRPr="004E5B54">
        <w:rPr>
          <w:rFonts w:ascii="Verdana" w:hAnsi="Verdana"/>
          <w:bCs/>
          <w:sz w:val="20"/>
          <w:szCs w:val="20"/>
        </w:rPr>
        <w:t xml:space="preserve">key initiatives including the Taskforce on Climate related Financial Disclosure. A confidential Guidance tool has been developed </w:t>
      </w:r>
      <w:r>
        <w:rPr>
          <w:rFonts w:ascii="Verdana" w:hAnsi="Verdana"/>
          <w:bCs/>
          <w:sz w:val="20"/>
          <w:szCs w:val="20"/>
        </w:rPr>
        <w:t xml:space="preserve">by LAPFF </w:t>
      </w:r>
      <w:r w:rsidRPr="004E5B54">
        <w:rPr>
          <w:rFonts w:ascii="Verdana" w:hAnsi="Verdana"/>
          <w:bCs/>
          <w:sz w:val="20"/>
          <w:szCs w:val="20"/>
        </w:rPr>
        <w:t xml:space="preserve">as an additional resource and </w:t>
      </w:r>
      <w:r>
        <w:rPr>
          <w:rFonts w:ascii="Verdana" w:hAnsi="Verdana"/>
          <w:bCs/>
          <w:sz w:val="20"/>
          <w:szCs w:val="20"/>
        </w:rPr>
        <w:t xml:space="preserve">this </w:t>
      </w:r>
      <w:r w:rsidRPr="004E5B54">
        <w:rPr>
          <w:rFonts w:ascii="Verdana" w:hAnsi="Verdana"/>
          <w:bCs/>
          <w:sz w:val="20"/>
          <w:szCs w:val="20"/>
        </w:rPr>
        <w:t xml:space="preserve">will continue to be </w:t>
      </w:r>
      <w:r>
        <w:rPr>
          <w:rFonts w:ascii="Verdana" w:hAnsi="Verdana"/>
          <w:bCs/>
          <w:sz w:val="20"/>
          <w:szCs w:val="20"/>
        </w:rPr>
        <w:t>kept updated over time</w:t>
      </w:r>
      <w:r w:rsidRPr="004E5B54">
        <w:rPr>
          <w:rFonts w:ascii="Verdana" w:hAnsi="Verdana"/>
          <w:bCs/>
          <w:sz w:val="20"/>
          <w:szCs w:val="20"/>
        </w:rPr>
        <w:t xml:space="preserve"> kept "live". This </w:t>
      </w:r>
      <w:r>
        <w:rPr>
          <w:rFonts w:ascii="Verdana" w:hAnsi="Verdana"/>
          <w:bCs/>
          <w:sz w:val="20"/>
          <w:szCs w:val="20"/>
        </w:rPr>
        <w:t xml:space="preserve">Guide </w:t>
      </w:r>
      <w:r w:rsidRPr="004E5B54">
        <w:rPr>
          <w:rFonts w:ascii="Verdana" w:hAnsi="Verdana"/>
          <w:bCs/>
          <w:sz w:val="20"/>
          <w:szCs w:val="20"/>
        </w:rPr>
        <w:t xml:space="preserve">will only be available to LAPFF members and </w:t>
      </w:r>
      <w:r>
        <w:rPr>
          <w:rFonts w:ascii="Verdana" w:hAnsi="Verdana"/>
          <w:bCs/>
          <w:sz w:val="20"/>
          <w:szCs w:val="20"/>
        </w:rPr>
        <w:t>will be accessible via</w:t>
      </w:r>
      <w:r w:rsidRPr="004E5B54">
        <w:rPr>
          <w:rFonts w:ascii="Verdana" w:hAnsi="Verdana"/>
          <w:bCs/>
          <w:sz w:val="20"/>
          <w:szCs w:val="20"/>
        </w:rPr>
        <w:t xml:space="preserve"> the secure member</w:t>
      </w:r>
      <w:r>
        <w:rPr>
          <w:rFonts w:ascii="Verdana" w:hAnsi="Verdana"/>
          <w:bCs/>
          <w:sz w:val="20"/>
          <w:szCs w:val="20"/>
        </w:rPr>
        <w:t xml:space="preserve"> only</w:t>
      </w:r>
      <w:r w:rsidRPr="004E5B54">
        <w:rPr>
          <w:rFonts w:ascii="Verdana" w:hAnsi="Verdana"/>
          <w:bCs/>
          <w:sz w:val="20"/>
          <w:szCs w:val="20"/>
        </w:rPr>
        <w:t xml:space="preserve"> section of the LAPFF website.</w:t>
      </w:r>
    </w:p>
    <w:p w:rsidR="000206BE" w:rsidRPr="004E5B54" w:rsidRDefault="00302DFD" w:rsidP="004E5B54">
      <w:pPr>
        <w:spacing w:after="0"/>
        <w:jc w:val="both"/>
        <w:rPr>
          <w:rFonts w:ascii="Verdana" w:hAnsi="Verdana"/>
          <w:bCs/>
          <w:sz w:val="20"/>
          <w:szCs w:val="20"/>
        </w:rPr>
      </w:pPr>
    </w:p>
    <w:p w:rsidR="00D808E5" w:rsidRPr="004E5B54" w:rsidRDefault="00103315" w:rsidP="004E5B54">
      <w:pPr>
        <w:spacing w:after="0"/>
        <w:jc w:val="both"/>
        <w:rPr>
          <w:rFonts w:ascii="Verdana" w:hAnsi="Verdana"/>
          <w:bCs/>
          <w:sz w:val="20"/>
          <w:szCs w:val="20"/>
        </w:rPr>
      </w:pPr>
      <w:r w:rsidRPr="004E5B54">
        <w:rPr>
          <w:rFonts w:ascii="Verdana" w:hAnsi="Verdana"/>
          <w:bCs/>
          <w:sz w:val="20"/>
          <w:szCs w:val="20"/>
        </w:rPr>
        <w:t xml:space="preserve">LPP I has been involved in the evolution of the LAPFF Framework and Guidance tool and will be </w:t>
      </w:r>
      <w:r>
        <w:rPr>
          <w:rFonts w:ascii="Verdana" w:hAnsi="Verdana"/>
          <w:bCs/>
          <w:sz w:val="20"/>
          <w:szCs w:val="20"/>
        </w:rPr>
        <w:t>offering</w:t>
      </w:r>
      <w:r w:rsidRPr="004E5B54">
        <w:rPr>
          <w:rFonts w:ascii="Verdana" w:hAnsi="Verdana"/>
          <w:bCs/>
          <w:sz w:val="20"/>
          <w:szCs w:val="20"/>
        </w:rPr>
        <w:t xml:space="preserve"> insights on potential action points for LCPF </w:t>
      </w:r>
      <w:r>
        <w:rPr>
          <w:rFonts w:ascii="Verdana" w:hAnsi="Verdana"/>
          <w:bCs/>
          <w:sz w:val="20"/>
          <w:szCs w:val="20"/>
        </w:rPr>
        <w:t>as part of</w:t>
      </w:r>
      <w:r w:rsidRPr="004E5B54">
        <w:rPr>
          <w:rFonts w:ascii="Verdana" w:hAnsi="Verdana"/>
          <w:bCs/>
          <w:sz w:val="20"/>
          <w:szCs w:val="20"/>
        </w:rPr>
        <w:t xml:space="preserve"> referencing and reflecting the framework within ongoing advice and support. </w:t>
      </w:r>
    </w:p>
    <w:p w:rsidR="00910574" w:rsidRDefault="00302DFD" w:rsidP="004E5B54">
      <w:pPr>
        <w:pStyle w:val="ListParagraph"/>
        <w:spacing w:after="0"/>
        <w:ind w:left="426"/>
        <w:jc w:val="both"/>
        <w:rPr>
          <w:rFonts w:ascii="Verdana" w:hAnsi="Verdana" w:cs="Arial"/>
          <w:b/>
          <w:bCs/>
          <w:color w:val="183850" w:themeColor="text1"/>
          <w:sz w:val="20"/>
          <w:szCs w:val="20"/>
        </w:rPr>
      </w:pPr>
    </w:p>
    <w:p w:rsidR="00103315" w:rsidRDefault="00103315" w:rsidP="004E5B54">
      <w:pPr>
        <w:pStyle w:val="ListParagraph"/>
        <w:spacing w:after="0"/>
        <w:ind w:left="426"/>
        <w:jc w:val="both"/>
        <w:rPr>
          <w:rFonts w:ascii="Verdana" w:hAnsi="Verdana" w:cs="Arial"/>
          <w:b/>
          <w:bCs/>
          <w:color w:val="183850" w:themeColor="text1"/>
          <w:sz w:val="20"/>
          <w:szCs w:val="20"/>
        </w:rPr>
      </w:pPr>
    </w:p>
    <w:p w:rsidR="00103315" w:rsidRDefault="00103315" w:rsidP="004E5B54">
      <w:pPr>
        <w:pStyle w:val="ListParagraph"/>
        <w:spacing w:after="0"/>
        <w:ind w:left="426"/>
        <w:jc w:val="both"/>
        <w:rPr>
          <w:rFonts w:ascii="Verdana" w:hAnsi="Verdana" w:cs="Arial"/>
          <w:b/>
          <w:bCs/>
          <w:color w:val="183850" w:themeColor="text1"/>
          <w:sz w:val="20"/>
          <w:szCs w:val="20"/>
        </w:rPr>
      </w:pPr>
    </w:p>
    <w:p w:rsidR="00103315" w:rsidRPr="004E5B54" w:rsidRDefault="00103315" w:rsidP="004E5B54">
      <w:pPr>
        <w:pStyle w:val="ListParagraph"/>
        <w:spacing w:after="0"/>
        <w:ind w:left="426"/>
        <w:jc w:val="both"/>
        <w:rPr>
          <w:rFonts w:ascii="Verdana" w:hAnsi="Verdana" w:cs="Arial"/>
          <w:b/>
          <w:bCs/>
          <w:color w:val="183850" w:themeColor="text1"/>
          <w:sz w:val="20"/>
          <w:szCs w:val="20"/>
        </w:rPr>
      </w:pPr>
    </w:p>
    <w:p w:rsidR="003540B0" w:rsidRDefault="00103315" w:rsidP="00915744">
      <w:pPr>
        <w:pStyle w:val="ListParagraph"/>
        <w:numPr>
          <w:ilvl w:val="0"/>
          <w:numId w:val="28"/>
        </w:numPr>
        <w:spacing w:after="0"/>
        <w:ind w:left="426" w:hanging="426"/>
        <w:jc w:val="both"/>
        <w:rPr>
          <w:rFonts w:ascii="Verdana" w:hAnsi="Verdana" w:cs="Arial"/>
          <w:b/>
          <w:bCs/>
          <w:color w:val="183850" w:themeColor="text1"/>
          <w:sz w:val="20"/>
          <w:szCs w:val="20"/>
        </w:rPr>
      </w:pPr>
      <w:r w:rsidRPr="00915744">
        <w:rPr>
          <w:rFonts w:ascii="Verdana" w:hAnsi="Verdana" w:cs="Arial"/>
          <w:b/>
          <w:bCs/>
          <w:color w:val="183850" w:themeColor="text1"/>
          <w:sz w:val="20"/>
          <w:szCs w:val="20"/>
        </w:rPr>
        <w:lastRenderedPageBreak/>
        <w:t>Tax Strategy Reporting (FTSE 50)</w:t>
      </w:r>
    </w:p>
    <w:p w:rsidR="00915744" w:rsidRPr="00915744" w:rsidRDefault="00302DFD" w:rsidP="00915744">
      <w:pPr>
        <w:pStyle w:val="ListParagraph"/>
        <w:spacing w:after="0"/>
        <w:jc w:val="both"/>
        <w:rPr>
          <w:rFonts w:ascii="Verdana" w:hAnsi="Verdana" w:cs="Arial"/>
          <w:b/>
          <w:bCs/>
          <w:color w:val="183850" w:themeColor="text1"/>
          <w:sz w:val="20"/>
          <w:szCs w:val="20"/>
        </w:rPr>
      </w:pPr>
    </w:p>
    <w:p w:rsidR="003540B0" w:rsidRPr="00E2534B" w:rsidRDefault="00103315" w:rsidP="003540B0">
      <w:pPr>
        <w:jc w:val="both"/>
        <w:rPr>
          <w:rFonts w:ascii="Verdana" w:hAnsi="Verdana"/>
          <w:bCs/>
          <w:sz w:val="20"/>
          <w:szCs w:val="20"/>
        </w:rPr>
      </w:pPr>
      <w:r w:rsidRPr="007155D6">
        <w:rPr>
          <w:rFonts w:ascii="Verdana" w:hAnsi="Verdana"/>
          <w:bCs/>
          <w:sz w:val="20"/>
          <w:szCs w:val="20"/>
        </w:rPr>
        <w:t xml:space="preserve">The </w:t>
      </w:r>
      <w:r>
        <w:rPr>
          <w:rFonts w:ascii="Verdana" w:hAnsi="Verdana"/>
          <w:bCs/>
          <w:sz w:val="20"/>
          <w:szCs w:val="20"/>
        </w:rPr>
        <w:t xml:space="preserve">Business </w:t>
      </w:r>
      <w:r w:rsidRPr="007155D6">
        <w:rPr>
          <w:rFonts w:ascii="Verdana" w:hAnsi="Verdana"/>
          <w:bCs/>
          <w:sz w:val="20"/>
          <w:szCs w:val="20"/>
        </w:rPr>
        <w:t xml:space="preserve">meeting </w:t>
      </w:r>
      <w:r>
        <w:rPr>
          <w:rFonts w:ascii="Verdana" w:hAnsi="Verdana"/>
          <w:bCs/>
          <w:sz w:val="20"/>
          <w:szCs w:val="20"/>
        </w:rPr>
        <w:t xml:space="preserve">received an informative presentation from Richard Murphy – an external advisor to LAPFF on tax matters and a key engagement partner in the forum's </w:t>
      </w:r>
      <w:r w:rsidRPr="00116ED0">
        <w:rPr>
          <w:rFonts w:ascii="Verdana" w:hAnsi="Verdana"/>
          <w:bCs/>
          <w:sz w:val="20"/>
          <w:szCs w:val="20"/>
        </w:rPr>
        <w:t>Corporate Tax Transparency Initiative</w:t>
      </w:r>
      <w:r>
        <w:rPr>
          <w:rFonts w:ascii="Verdana" w:hAnsi="Verdana"/>
          <w:bCs/>
          <w:sz w:val="20"/>
          <w:szCs w:val="20"/>
        </w:rPr>
        <w:t xml:space="preserve">. Richard </w:t>
      </w:r>
      <w:r w:rsidRPr="00E2534B">
        <w:rPr>
          <w:rFonts w:ascii="Verdana" w:hAnsi="Verdana"/>
          <w:bCs/>
          <w:sz w:val="20"/>
          <w:szCs w:val="20"/>
        </w:rPr>
        <w:t>and his team at City University have been undertaking research on tax reporting practices among the FTSE 50 as assessed against new tax reporting legislation</w:t>
      </w:r>
      <w:r>
        <w:rPr>
          <w:rFonts w:ascii="Verdana" w:hAnsi="Verdana"/>
          <w:bCs/>
          <w:sz w:val="20"/>
          <w:szCs w:val="20"/>
        </w:rPr>
        <w:t xml:space="preserve"> in </w:t>
      </w:r>
      <w:r w:rsidRPr="00E2534B">
        <w:rPr>
          <w:rFonts w:ascii="Verdana" w:hAnsi="Verdana"/>
          <w:bCs/>
          <w:sz w:val="20"/>
          <w:szCs w:val="20"/>
        </w:rPr>
        <w:t xml:space="preserve">the UK </w:t>
      </w:r>
      <w:r>
        <w:rPr>
          <w:rFonts w:ascii="Verdana" w:hAnsi="Verdana"/>
          <w:bCs/>
          <w:sz w:val="20"/>
          <w:szCs w:val="20"/>
        </w:rPr>
        <w:t xml:space="preserve">(which includes Country by Country Reporting) </w:t>
      </w:r>
      <w:r w:rsidRPr="00E2534B">
        <w:rPr>
          <w:rFonts w:ascii="Verdana" w:hAnsi="Verdana"/>
          <w:bCs/>
          <w:sz w:val="20"/>
          <w:szCs w:val="20"/>
        </w:rPr>
        <w:t>and tax reporting practices in the banking and insurance sectors.</w:t>
      </w:r>
      <w:r>
        <w:rPr>
          <w:rFonts w:ascii="Verdana" w:hAnsi="Verdana"/>
          <w:bCs/>
          <w:sz w:val="20"/>
          <w:szCs w:val="20"/>
        </w:rPr>
        <w:t xml:space="preserve"> </w:t>
      </w:r>
    </w:p>
    <w:p w:rsidR="003540B0" w:rsidRDefault="00103315" w:rsidP="003540B0">
      <w:pPr>
        <w:autoSpaceDE w:val="0"/>
        <w:autoSpaceDN w:val="0"/>
        <w:adjustRightInd w:val="0"/>
        <w:spacing w:after="0"/>
        <w:rPr>
          <w:rFonts w:ascii="Verdana" w:hAnsi="Verdana"/>
          <w:bCs/>
        </w:rPr>
      </w:pPr>
      <w:r>
        <w:rPr>
          <w:rFonts w:ascii="Helvetica" w:hAnsi="Helvetica" w:cs="Helvetica"/>
        </w:rPr>
        <w:t xml:space="preserve">A </w:t>
      </w:r>
      <w:r w:rsidRPr="00344CD6">
        <w:rPr>
          <w:rFonts w:ascii="Verdana" w:hAnsi="Verdana"/>
          <w:bCs/>
          <w:sz w:val="20"/>
          <w:szCs w:val="20"/>
        </w:rPr>
        <w:t xml:space="preserve">report on </w:t>
      </w:r>
      <w:r w:rsidRPr="00E2534B">
        <w:rPr>
          <w:rFonts w:ascii="Verdana" w:hAnsi="Verdana"/>
          <w:bCs/>
          <w:sz w:val="20"/>
          <w:szCs w:val="20"/>
        </w:rPr>
        <w:t xml:space="preserve">tax reporting practices among the FTSE 50 </w:t>
      </w:r>
      <w:r>
        <w:rPr>
          <w:rFonts w:ascii="Verdana" w:hAnsi="Verdana"/>
          <w:bCs/>
          <w:sz w:val="20"/>
          <w:szCs w:val="20"/>
        </w:rPr>
        <w:t xml:space="preserve">was presented to the meeting. </w:t>
      </w:r>
    </w:p>
    <w:p w:rsidR="003540B0" w:rsidRPr="0007420E" w:rsidRDefault="00103315" w:rsidP="003540B0">
      <w:pPr>
        <w:autoSpaceDE w:val="0"/>
        <w:autoSpaceDN w:val="0"/>
        <w:adjustRightInd w:val="0"/>
        <w:spacing w:after="0"/>
        <w:rPr>
          <w:rFonts w:ascii="Verdana" w:hAnsi="Verdana"/>
          <w:bCs/>
          <w:sz w:val="20"/>
          <w:szCs w:val="20"/>
        </w:rPr>
      </w:pPr>
      <w:r>
        <w:rPr>
          <w:rFonts w:ascii="Verdana" w:hAnsi="Verdana"/>
          <w:bCs/>
          <w:sz w:val="20"/>
          <w:szCs w:val="20"/>
        </w:rPr>
        <w:t>A second report</w:t>
      </w:r>
      <w:r w:rsidRPr="0007420E">
        <w:rPr>
          <w:rFonts w:ascii="Verdana" w:hAnsi="Verdana"/>
          <w:bCs/>
          <w:sz w:val="20"/>
          <w:szCs w:val="20"/>
        </w:rPr>
        <w:t xml:space="preserve"> on the tax practices of banks and insurance companies is forthcoming.</w:t>
      </w:r>
    </w:p>
    <w:p w:rsidR="003540B0" w:rsidRDefault="00103315" w:rsidP="003540B0">
      <w:pPr>
        <w:jc w:val="both"/>
        <w:rPr>
          <w:rFonts w:ascii="Verdana" w:hAnsi="Verdana"/>
          <w:bCs/>
          <w:sz w:val="20"/>
          <w:szCs w:val="20"/>
        </w:rPr>
      </w:pPr>
      <w:r w:rsidRPr="00A33388">
        <w:rPr>
          <w:rFonts w:ascii="Verdana" w:hAnsi="Verdana"/>
          <w:bCs/>
          <w:sz w:val="20"/>
          <w:szCs w:val="20"/>
        </w:rPr>
        <w:t xml:space="preserve">The </w:t>
      </w:r>
      <w:r>
        <w:rPr>
          <w:rFonts w:ascii="Verdana" w:hAnsi="Verdana"/>
          <w:bCs/>
          <w:sz w:val="20"/>
          <w:szCs w:val="20"/>
        </w:rPr>
        <w:t xml:space="preserve">meeting received a proposal to provide financial support </w:t>
      </w:r>
      <w:r w:rsidRPr="0007420E">
        <w:rPr>
          <w:rFonts w:ascii="Verdana" w:hAnsi="Verdana"/>
          <w:bCs/>
          <w:sz w:val="20"/>
          <w:szCs w:val="20"/>
        </w:rPr>
        <w:t xml:space="preserve">to publish and publicise the FTSE 50 report which was </w:t>
      </w:r>
      <w:r>
        <w:rPr>
          <w:rFonts w:ascii="Verdana" w:hAnsi="Verdana"/>
          <w:bCs/>
          <w:sz w:val="20"/>
          <w:szCs w:val="20"/>
        </w:rPr>
        <w:t xml:space="preserve">duly </w:t>
      </w:r>
      <w:r w:rsidRPr="0007420E">
        <w:rPr>
          <w:rFonts w:ascii="Verdana" w:hAnsi="Verdana"/>
          <w:bCs/>
          <w:sz w:val="20"/>
          <w:szCs w:val="20"/>
        </w:rPr>
        <w:t>agreed by members.</w:t>
      </w:r>
      <w:r>
        <w:rPr>
          <w:rFonts w:ascii="Verdana" w:hAnsi="Verdana"/>
          <w:bCs/>
          <w:sz w:val="20"/>
          <w:szCs w:val="20"/>
        </w:rPr>
        <w:t xml:space="preserve"> </w:t>
      </w:r>
    </w:p>
    <w:p w:rsidR="003540B0" w:rsidRDefault="00103315" w:rsidP="003540B0">
      <w:pPr>
        <w:jc w:val="both"/>
        <w:rPr>
          <w:rFonts w:ascii="Verdana" w:hAnsi="Verdana"/>
          <w:bCs/>
          <w:sz w:val="20"/>
          <w:szCs w:val="20"/>
        </w:rPr>
      </w:pPr>
      <w:r>
        <w:rPr>
          <w:rFonts w:ascii="Verdana" w:hAnsi="Verdana"/>
          <w:bCs/>
          <w:sz w:val="20"/>
          <w:szCs w:val="20"/>
        </w:rPr>
        <w:t xml:space="preserve">Richard's presentation covered the findings of latest research and his wider activities in association with the </w:t>
      </w:r>
      <w:r w:rsidRPr="00A33388">
        <w:rPr>
          <w:rFonts w:ascii="Verdana" w:hAnsi="Verdana"/>
          <w:bCs/>
          <w:sz w:val="20"/>
          <w:szCs w:val="20"/>
        </w:rPr>
        <w:t>Fair Tax Mark</w:t>
      </w:r>
      <w:r>
        <w:rPr>
          <w:rFonts w:ascii="Verdana" w:hAnsi="Verdana"/>
          <w:bCs/>
          <w:sz w:val="20"/>
          <w:szCs w:val="20"/>
        </w:rPr>
        <w:t>. This is</w:t>
      </w:r>
      <w:r w:rsidRPr="00A33388">
        <w:rPr>
          <w:rFonts w:ascii="Verdana" w:hAnsi="Verdana"/>
          <w:bCs/>
          <w:sz w:val="20"/>
          <w:szCs w:val="20"/>
        </w:rPr>
        <w:t xml:space="preserve"> </w:t>
      </w:r>
      <w:r>
        <w:rPr>
          <w:rFonts w:ascii="Verdana" w:hAnsi="Verdana"/>
          <w:bCs/>
          <w:sz w:val="20"/>
          <w:szCs w:val="20"/>
        </w:rPr>
        <w:t>a</w:t>
      </w:r>
      <w:r w:rsidRPr="00A33388">
        <w:rPr>
          <w:rFonts w:ascii="Verdana" w:hAnsi="Verdana"/>
          <w:bCs/>
          <w:sz w:val="20"/>
          <w:szCs w:val="20"/>
        </w:rPr>
        <w:t>s an accreditation scheme which re</w:t>
      </w:r>
      <w:r>
        <w:rPr>
          <w:rFonts w:ascii="Verdana" w:hAnsi="Verdana"/>
          <w:bCs/>
          <w:sz w:val="20"/>
          <w:szCs w:val="20"/>
        </w:rPr>
        <w:t xml:space="preserve">cognises </w:t>
      </w:r>
      <w:r w:rsidRPr="00A33388">
        <w:rPr>
          <w:rFonts w:ascii="Verdana" w:hAnsi="Verdana"/>
          <w:bCs/>
          <w:sz w:val="20"/>
          <w:szCs w:val="20"/>
        </w:rPr>
        <w:t>business</w:t>
      </w:r>
      <w:r>
        <w:rPr>
          <w:rFonts w:ascii="Verdana" w:hAnsi="Verdana"/>
          <w:bCs/>
          <w:sz w:val="20"/>
          <w:szCs w:val="20"/>
        </w:rPr>
        <w:t>es that are good taxpayers. It is</w:t>
      </w:r>
      <w:r w:rsidRPr="00A33388">
        <w:rPr>
          <w:rFonts w:ascii="Verdana" w:hAnsi="Verdana"/>
          <w:bCs/>
          <w:sz w:val="20"/>
          <w:szCs w:val="20"/>
        </w:rPr>
        <w:t xml:space="preserve"> the only scheme of its kind in the UK, and describes itself as "bridging the gap between corporate responsibility and the wider tax justice movement".  </w:t>
      </w:r>
    </w:p>
    <w:p w:rsidR="0054100C" w:rsidRDefault="00103315" w:rsidP="0054100C">
      <w:pPr>
        <w:pStyle w:val="ListParagraph"/>
        <w:numPr>
          <w:ilvl w:val="0"/>
          <w:numId w:val="28"/>
        </w:numPr>
        <w:autoSpaceDE w:val="0"/>
        <w:autoSpaceDN w:val="0"/>
        <w:adjustRightInd w:val="0"/>
        <w:spacing w:after="0"/>
        <w:ind w:left="426" w:hanging="426"/>
        <w:rPr>
          <w:rFonts w:ascii="Verdana" w:hAnsi="Verdana"/>
          <w:b/>
          <w:bCs/>
          <w:sz w:val="20"/>
          <w:szCs w:val="20"/>
        </w:rPr>
      </w:pPr>
      <w:r>
        <w:rPr>
          <w:rFonts w:ascii="Verdana" w:hAnsi="Verdana"/>
          <w:b/>
          <w:bCs/>
          <w:sz w:val="20"/>
          <w:szCs w:val="20"/>
        </w:rPr>
        <w:t xml:space="preserve">LAPFF Q3 </w:t>
      </w:r>
      <w:r w:rsidRPr="0054100C">
        <w:rPr>
          <w:rFonts w:ascii="Verdana" w:hAnsi="Verdana"/>
          <w:b/>
          <w:bCs/>
          <w:sz w:val="20"/>
          <w:szCs w:val="20"/>
        </w:rPr>
        <w:t>Engagement Report</w:t>
      </w:r>
      <w:r>
        <w:rPr>
          <w:rFonts w:ascii="Verdana" w:hAnsi="Verdana"/>
          <w:b/>
          <w:bCs/>
          <w:sz w:val="20"/>
          <w:szCs w:val="20"/>
        </w:rPr>
        <w:t xml:space="preserve"> (Appendix A2)</w:t>
      </w:r>
    </w:p>
    <w:p w:rsidR="0054100C" w:rsidRPr="0054100C" w:rsidRDefault="00302DFD" w:rsidP="0054100C">
      <w:pPr>
        <w:pStyle w:val="ListParagraph"/>
        <w:autoSpaceDE w:val="0"/>
        <w:autoSpaceDN w:val="0"/>
        <w:adjustRightInd w:val="0"/>
        <w:spacing w:after="0"/>
        <w:ind w:left="426"/>
        <w:rPr>
          <w:rFonts w:ascii="Verdana" w:hAnsi="Verdana"/>
          <w:b/>
          <w:bCs/>
          <w:sz w:val="20"/>
          <w:szCs w:val="20"/>
        </w:rPr>
      </w:pPr>
    </w:p>
    <w:p w:rsidR="007200F8" w:rsidRPr="004E5B54" w:rsidRDefault="00103315" w:rsidP="007200F8">
      <w:pPr>
        <w:autoSpaceDE w:val="0"/>
        <w:autoSpaceDN w:val="0"/>
        <w:adjustRightInd w:val="0"/>
        <w:spacing w:after="0"/>
        <w:rPr>
          <w:rFonts w:ascii="Verdana" w:hAnsi="Verdana"/>
          <w:bCs/>
          <w:sz w:val="20"/>
          <w:szCs w:val="20"/>
        </w:rPr>
      </w:pPr>
      <w:r w:rsidRPr="0054100C">
        <w:rPr>
          <w:rFonts w:ascii="Verdana" w:hAnsi="Verdana"/>
          <w:bCs/>
          <w:sz w:val="20"/>
          <w:szCs w:val="20"/>
        </w:rPr>
        <w:t xml:space="preserve">The </w:t>
      </w:r>
      <w:r>
        <w:rPr>
          <w:rFonts w:ascii="Verdana" w:hAnsi="Verdana"/>
          <w:bCs/>
          <w:sz w:val="20"/>
          <w:szCs w:val="20"/>
        </w:rPr>
        <w:t xml:space="preserve">LAPFF </w:t>
      </w:r>
      <w:r w:rsidRPr="0054100C">
        <w:rPr>
          <w:rFonts w:ascii="Verdana" w:hAnsi="Verdana"/>
          <w:bCs/>
          <w:sz w:val="20"/>
          <w:szCs w:val="20"/>
        </w:rPr>
        <w:t xml:space="preserve">engagement programme reflects </w:t>
      </w:r>
      <w:r>
        <w:rPr>
          <w:rFonts w:ascii="Verdana" w:hAnsi="Verdana"/>
          <w:bCs/>
          <w:sz w:val="20"/>
          <w:szCs w:val="20"/>
        </w:rPr>
        <w:t xml:space="preserve">the Forum's </w:t>
      </w:r>
      <w:r w:rsidRPr="0054100C">
        <w:rPr>
          <w:rFonts w:ascii="Verdana" w:hAnsi="Verdana"/>
          <w:bCs/>
          <w:sz w:val="20"/>
          <w:szCs w:val="20"/>
        </w:rPr>
        <w:t>assessment of key priorities from across the collective equity holdings of LAPFF members.</w:t>
      </w:r>
      <w:r>
        <w:rPr>
          <w:rFonts w:ascii="Verdana" w:hAnsi="Verdana"/>
          <w:bCs/>
          <w:sz w:val="20"/>
          <w:szCs w:val="20"/>
        </w:rPr>
        <w:t xml:space="preserve"> </w:t>
      </w:r>
      <w:r w:rsidRPr="0054100C">
        <w:rPr>
          <w:rFonts w:ascii="Verdana" w:hAnsi="Verdana"/>
          <w:bCs/>
          <w:sz w:val="20"/>
          <w:szCs w:val="20"/>
        </w:rPr>
        <w:t>On a quarterly basis LAPFF provide</w:t>
      </w:r>
      <w:r>
        <w:rPr>
          <w:rFonts w:ascii="Verdana" w:hAnsi="Verdana"/>
          <w:bCs/>
          <w:sz w:val="20"/>
          <w:szCs w:val="20"/>
        </w:rPr>
        <w:t>s</w:t>
      </w:r>
      <w:r w:rsidRPr="0054100C">
        <w:rPr>
          <w:rFonts w:ascii="Verdana" w:hAnsi="Verdana"/>
          <w:bCs/>
          <w:sz w:val="20"/>
          <w:szCs w:val="20"/>
        </w:rPr>
        <w:t xml:space="preserve"> </w:t>
      </w:r>
      <w:r>
        <w:rPr>
          <w:rFonts w:ascii="Verdana" w:hAnsi="Verdana"/>
          <w:bCs/>
          <w:sz w:val="20"/>
          <w:szCs w:val="20"/>
        </w:rPr>
        <w:t xml:space="preserve">Forum </w:t>
      </w:r>
      <w:r w:rsidRPr="0054100C">
        <w:rPr>
          <w:rFonts w:ascii="Verdana" w:hAnsi="Verdana"/>
          <w:bCs/>
          <w:sz w:val="20"/>
          <w:szCs w:val="20"/>
        </w:rPr>
        <w:t xml:space="preserve">members with a summary of the engagement activities undertaken on their behalf. </w:t>
      </w:r>
      <w:r w:rsidRPr="004E5B54">
        <w:rPr>
          <w:rFonts w:ascii="Verdana" w:hAnsi="Verdana"/>
          <w:bCs/>
          <w:sz w:val="20"/>
          <w:szCs w:val="20"/>
        </w:rPr>
        <w:t xml:space="preserve">LAPFF Quarterly Engagement reports were previously marked confidential </w:t>
      </w:r>
      <w:r>
        <w:rPr>
          <w:rFonts w:ascii="Verdana" w:hAnsi="Verdana"/>
          <w:bCs/>
          <w:sz w:val="20"/>
          <w:szCs w:val="20"/>
        </w:rPr>
        <w:t>with</w:t>
      </w:r>
      <w:r w:rsidRPr="004E5B54">
        <w:rPr>
          <w:rFonts w:ascii="Verdana" w:hAnsi="Verdana"/>
          <w:bCs/>
          <w:sz w:val="20"/>
          <w:szCs w:val="20"/>
        </w:rPr>
        <w:t xml:space="preserve"> circulation </w:t>
      </w:r>
      <w:r>
        <w:rPr>
          <w:rFonts w:ascii="Verdana" w:hAnsi="Verdana"/>
          <w:bCs/>
          <w:sz w:val="20"/>
          <w:szCs w:val="20"/>
        </w:rPr>
        <w:t>restricted to Forum members but withi</w:t>
      </w:r>
      <w:r w:rsidRPr="004E5B54">
        <w:rPr>
          <w:rFonts w:ascii="Verdana" w:hAnsi="Verdana"/>
          <w:bCs/>
          <w:sz w:val="20"/>
          <w:szCs w:val="20"/>
        </w:rPr>
        <w:t>n the last quarter</w:t>
      </w:r>
      <w:r>
        <w:rPr>
          <w:rFonts w:ascii="Verdana" w:hAnsi="Verdana"/>
          <w:bCs/>
          <w:sz w:val="20"/>
          <w:szCs w:val="20"/>
        </w:rPr>
        <w:t xml:space="preserve"> </w:t>
      </w:r>
      <w:r w:rsidRPr="004E5B54">
        <w:rPr>
          <w:rFonts w:ascii="Verdana" w:hAnsi="Verdana"/>
          <w:bCs/>
          <w:sz w:val="20"/>
          <w:szCs w:val="20"/>
        </w:rPr>
        <w:t>reports have been re-classified and are now made publicly available via the LAPFF website.</w:t>
      </w:r>
    </w:p>
    <w:p w:rsidR="0054100C" w:rsidRPr="004E5B54" w:rsidRDefault="00103315" w:rsidP="0054100C">
      <w:pPr>
        <w:autoSpaceDE w:val="0"/>
        <w:autoSpaceDN w:val="0"/>
        <w:adjustRightInd w:val="0"/>
        <w:spacing w:after="0"/>
        <w:rPr>
          <w:rFonts w:ascii="Verdana" w:hAnsi="Verdana"/>
          <w:bCs/>
          <w:sz w:val="20"/>
          <w:szCs w:val="20"/>
        </w:rPr>
      </w:pPr>
      <w:r w:rsidRPr="0054100C">
        <w:rPr>
          <w:rFonts w:ascii="Verdana" w:hAnsi="Verdana"/>
          <w:bCs/>
          <w:sz w:val="20"/>
          <w:szCs w:val="20"/>
        </w:rPr>
        <w:t xml:space="preserve">LAPFF's Q3 2017 Engagement Report </w:t>
      </w:r>
      <w:r>
        <w:rPr>
          <w:rFonts w:ascii="Verdana" w:hAnsi="Verdana"/>
          <w:bCs/>
          <w:sz w:val="20"/>
          <w:szCs w:val="20"/>
        </w:rPr>
        <w:t xml:space="preserve">is attached at </w:t>
      </w:r>
      <w:r w:rsidRPr="00103315">
        <w:rPr>
          <w:rFonts w:ascii="Verdana" w:hAnsi="Verdana"/>
          <w:b/>
          <w:bCs/>
          <w:sz w:val="20"/>
          <w:szCs w:val="20"/>
        </w:rPr>
        <w:t>Appendix A2</w:t>
      </w:r>
      <w:r>
        <w:rPr>
          <w:rFonts w:ascii="Verdana" w:hAnsi="Verdana"/>
          <w:bCs/>
          <w:sz w:val="20"/>
          <w:szCs w:val="20"/>
        </w:rPr>
        <w:t>.</w:t>
      </w:r>
      <w:r w:rsidRPr="004E5B54">
        <w:rPr>
          <w:rFonts w:ascii="Verdana" w:hAnsi="Verdana"/>
          <w:bCs/>
          <w:sz w:val="20"/>
          <w:szCs w:val="20"/>
        </w:rPr>
        <w:t xml:space="preserve"> </w:t>
      </w:r>
    </w:p>
    <w:p w:rsidR="004E5B54" w:rsidRDefault="00302DFD" w:rsidP="0044236A">
      <w:pPr>
        <w:autoSpaceDE w:val="0"/>
        <w:autoSpaceDN w:val="0"/>
        <w:adjustRightInd w:val="0"/>
        <w:spacing w:after="0"/>
        <w:rPr>
          <w:rFonts w:ascii="Verdana" w:hAnsi="Verdana"/>
          <w:bCs/>
          <w:sz w:val="20"/>
          <w:szCs w:val="20"/>
        </w:rPr>
      </w:pPr>
    </w:p>
    <w:p w:rsidR="0054100C" w:rsidRPr="0044236A" w:rsidRDefault="00103315" w:rsidP="0044236A">
      <w:pPr>
        <w:autoSpaceDE w:val="0"/>
        <w:autoSpaceDN w:val="0"/>
        <w:adjustRightInd w:val="0"/>
        <w:spacing w:after="0"/>
        <w:rPr>
          <w:rFonts w:ascii="Verdana" w:hAnsi="Verdana"/>
          <w:bCs/>
          <w:sz w:val="20"/>
          <w:szCs w:val="20"/>
        </w:rPr>
      </w:pPr>
      <w:r w:rsidRPr="0054100C">
        <w:rPr>
          <w:rFonts w:ascii="Verdana" w:hAnsi="Verdana"/>
          <w:bCs/>
          <w:sz w:val="20"/>
          <w:szCs w:val="20"/>
        </w:rPr>
        <w:t xml:space="preserve">Quantified across thematic topics, engagement activity by LAPFF was as follows: </w:t>
      </w:r>
    </w:p>
    <w:p w:rsidR="0054100C" w:rsidRDefault="00103315" w:rsidP="0054100C">
      <w:pPr>
        <w:autoSpaceDE w:val="0"/>
        <w:autoSpaceDN w:val="0"/>
        <w:adjustRightInd w:val="0"/>
        <w:spacing w:after="0"/>
        <w:rPr>
          <w:rFonts w:ascii="Verdana" w:hAnsi="Verdana" w:cs="Arial"/>
          <w:bCs/>
          <w:color w:val="183850" w:themeColor="text1"/>
          <w:sz w:val="20"/>
          <w:szCs w:val="20"/>
        </w:rPr>
      </w:pPr>
      <w:r>
        <w:rPr>
          <w:noProof/>
          <w:lang w:eastAsia="en-GB"/>
        </w:rPr>
        <w:drawing>
          <wp:inline distT="0" distB="0" distL="0" distR="0">
            <wp:extent cx="5899094" cy="33012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38"/>
                    <a:stretch>
                      <a:fillRect/>
                    </a:stretch>
                  </pic:blipFill>
                  <pic:spPr bwMode="auto">
                    <a:xfrm>
                      <a:off x="0" y="0"/>
                      <a:ext cx="5941222" cy="3324838"/>
                    </a:xfrm>
                    <a:prstGeom prst="rect">
                      <a:avLst/>
                    </a:prstGeom>
                    <a:ln>
                      <a:noFill/>
                    </a:ln>
                    <a:extLst>
                      <a:ext uri="{53640926-AAD7-44D8-BBD7-CCE9431645EC}">
                        <a14:shadowObscured xmlns:a14="http://schemas.microsoft.com/office/drawing/2010/main"/>
                      </a:ext>
                    </a:extLst>
                  </pic:spPr>
                </pic:pic>
              </a:graphicData>
            </a:graphic>
          </wp:inline>
        </w:drawing>
      </w:r>
    </w:p>
    <w:p w:rsidR="00FF2891" w:rsidRDefault="00302DFD" w:rsidP="0054100C">
      <w:pPr>
        <w:autoSpaceDE w:val="0"/>
        <w:autoSpaceDN w:val="0"/>
        <w:adjustRightInd w:val="0"/>
        <w:spacing w:after="0"/>
        <w:rPr>
          <w:rFonts w:ascii="Verdana" w:hAnsi="Verdana"/>
          <w:bCs/>
          <w:sz w:val="20"/>
          <w:szCs w:val="20"/>
        </w:rPr>
      </w:pPr>
    </w:p>
    <w:p w:rsidR="00FF2891" w:rsidRDefault="00302DFD" w:rsidP="0054100C">
      <w:pPr>
        <w:autoSpaceDE w:val="0"/>
        <w:autoSpaceDN w:val="0"/>
        <w:adjustRightInd w:val="0"/>
        <w:spacing w:after="0"/>
        <w:rPr>
          <w:rFonts w:ascii="Verdana" w:hAnsi="Verdana"/>
          <w:bCs/>
          <w:sz w:val="20"/>
          <w:szCs w:val="20"/>
        </w:rPr>
      </w:pPr>
    </w:p>
    <w:p w:rsidR="00FF2891" w:rsidRDefault="00302DFD" w:rsidP="0054100C">
      <w:pPr>
        <w:autoSpaceDE w:val="0"/>
        <w:autoSpaceDN w:val="0"/>
        <w:adjustRightInd w:val="0"/>
        <w:spacing w:after="0"/>
        <w:rPr>
          <w:rFonts w:ascii="Verdana" w:hAnsi="Verdana"/>
          <w:bCs/>
          <w:sz w:val="20"/>
          <w:szCs w:val="20"/>
        </w:rPr>
      </w:pPr>
    </w:p>
    <w:p w:rsidR="0044236A" w:rsidRDefault="00103315" w:rsidP="0054100C">
      <w:pPr>
        <w:autoSpaceDE w:val="0"/>
        <w:autoSpaceDN w:val="0"/>
        <w:adjustRightInd w:val="0"/>
        <w:spacing w:after="0"/>
        <w:rPr>
          <w:rFonts w:ascii="Verdana" w:hAnsi="Verdana"/>
          <w:bCs/>
          <w:sz w:val="20"/>
          <w:szCs w:val="20"/>
        </w:rPr>
      </w:pPr>
      <w:r w:rsidRPr="004E5B54">
        <w:rPr>
          <w:rFonts w:ascii="Verdana" w:hAnsi="Verdana"/>
          <w:bCs/>
          <w:sz w:val="20"/>
          <w:szCs w:val="20"/>
        </w:rPr>
        <w:t xml:space="preserve">The companies engaged with and the topics raised </w:t>
      </w:r>
      <w:r>
        <w:rPr>
          <w:rFonts w:ascii="Verdana" w:hAnsi="Verdana"/>
          <w:bCs/>
          <w:sz w:val="20"/>
          <w:szCs w:val="20"/>
        </w:rPr>
        <w:t xml:space="preserve">with them by LAPFF </w:t>
      </w:r>
      <w:r w:rsidRPr="004E5B54">
        <w:rPr>
          <w:rFonts w:ascii="Verdana" w:hAnsi="Verdana"/>
          <w:bCs/>
          <w:sz w:val="20"/>
          <w:szCs w:val="20"/>
        </w:rPr>
        <w:t>were as follows:</w:t>
      </w:r>
    </w:p>
    <w:p w:rsidR="004E5B54" w:rsidRPr="004E5B54" w:rsidRDefault="00302DFD" w:rsidP="0054100C">
      <w:pPr>
        <w:autoSpaceDE w:val="0"/>
        <w:autoSpaceDN w:val="0"/>
        <w:adjustRightInd w:val="0"/>
        <w:spacing w:after="0"/>
        <w:rPr>
          <w:rFonts w:ascii="Verdana" w:hAnsi="Verdana"/>
          <w:bCs/>
          <w:sz w:val="20"/>
          <w:szCs w:val="20"/>
        </w:rPr>
      </w:pPr>
    </w:p>
    <w:p w:rsidR="0044236A" w:rsidRDefault="00103315" w:rsidP="0054100C">
      <w:pPr>
        <w:autoSpaceDE w:val="0"/>
        <w:autoSpaceDN w:val="0"/>
        <w:adjustRightInd w:val="0"/>
        <w:spacing w:after="0"/>
        <w:rPr>
          <w:rFonts w:ascii="Verdana" w:hAnsi="Verdana"/>
          <w:bCs/>
          <w:color w:val="183850" w:themeColor="text1"/>
          <w:sz w:val="20"/>
          <w:szCs w:val="20"/>
        </w:rPr>
      </w:pPr>
      <w:r>
        <w:rPr>
          <w:noProof/>
          <w:lang w:eastAsia="en-GB"/>
        </w:rPr>
        <w:drawing>
          <wp:inline distT="0" distB="0" distL="0" distR="0">
            <wp:extent cx="5768340" cy="555886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8906" cy="5578686"/>
                    </a:xfrm>
                    <a:prstGeom prst="rect">
                      <a:avLst/>
                    </a:prstGeom>
                  </pic:spPr>
                </pic:pic>
              </a:graphicData>
            </a:graphic>
          </wp:inline>
        </w:drawing>
      </w:r>
    </w:p>
    <w:p w:rsidR="00DB514E" w:rsidRDefault="00302DFD" w:rsidP="004E5B54">
      <w:pPr>
        <w:jc w:val="both"/>
        <w:rPr>
          <w:rFonts w:ascii="Verdana" w:hAnsi="Verdana"/>
          <w:b/>
          <w:bCs/>
          <w:sz w:val="20"/>
          <w:szCs w:val="20"/>
        </w:rPr>
      </w:pPr>
    </w:p>
    <w:p w:rsidR="0041728C" w:rsidRPr="004E5B54" w:rsidRDefault="00103315" w:rsidP="004E5B54">
      <w:pPr>
        <w:jc w:val="both"/>
        <w:rPr>
          <w:rFonts w:ascii="Verdana" w:hAnsi="Verdana"/>
          <w:b/>
          <w:bCs/>
          <w:sz w:val="20"/>
          <w:szCs w:val="20"/>
        </w:rPr>
      </w:pPr>
      <w:r w:rsidRPr="004E5B54">
        <w:rPr>
          <w:rFonts w:ascii="Verdana" w:hAnsi="Verdana"/>
          <w:b/>
          <w:bCs/>
          <w:sz w:val="20"/>
          <w:szCs w:val="20"/>
        </w:rPr>
        <w:t>Principles of Responsible Investment (PRI)</w:t>
      </w:r>
    </w:p>
    <w:p w:rsidR="001E4AE5" w:rsidRPr="004E5B54" w:rsidRDefault="00103315" w:rsidP="004E5B54">
      <w:pPr>
        <w:pStyle w:val="ListParagraph"/>
        <w:numPr>
          <w:ilvl w:val="0"/>
          <w:numId w:val="28"/>
        </w:numPr>
        <w:ind w:left="426" w:hanging="426"/>
        <w:jc w:val="both"/>
        <w:rPr>
          <w:rFonts w:ascii="Verdana" w:hAnsi="Verdana"/>
          <w:bCs/>
          <w:sz w:val="20"/>
          <w:szCs w:val="20"/>
        </w:rPr>
      </w:pPr>
      <w:r w:rsidRPr="004E5B54">
        <w:rPr>
          <w:rFonts w:ascii="Verdana" w:hAnsi="Verdana"/>
          <w:bCs/>
          <w:sz w:val="20"/>
          <w:szCs w:val="20"/>
        </w:rPr>
        <w:t>Engagement on Cyber Security</w:t>
      </w:r>
    </w:p>
    <w:p w:rsidR="0044236A" w:rsidRPr="0044236A" w:rsidRDefault="00302DFD" w:rsidP="0044236A">
      <w:pPr>
        <w:pStyle w:val="ListParagraph"/>
        <w:autoSpaceDE w:val="0"/>
        <w:autoSpaceDN w:val="0"/>
        <w:adjustRightInd w:val="0"/>
        <w:spacing w:after="0"/>
        <w:rPr>
          <w:rFonts w:ascii="Verdana" w:hAnsi="Verdana" w:cs="Arial"/>
          <w:color w:val="183850" w:themeColor="text1"/>
          <w:sz w:val="20"/>
          <w:szCs w:val="20"/>
        </w:rPr>
      </w:pPr>
    </w:p>
    <w:p w:rsidR="001A3CBB" w:rsidRPr="0044236A" w:rsidRDefault="00103315" w:rsidP="0044236A">
      <w:pPr>
        <w:jc w:val="both"/>
        <w:rPr>
          <w:rFonts w:ascii="Verdana" w:hAnsi="Verdana"/>
          <w:bCs/>
          <w:sz w:val="20"/>
          <w:szCs w:val="20"/>
        </w:rPr>
      </w:pPr>
      <w:r w:rsidRPr="0044236A">
        <w:rPr>
          <w:rFonts w:ascii="Verdana" w:hAnsi="Verdana"/>
          <w:bCs/>
          <w:sz w:val="20"/>
          <w:szCs w:val="20"/>
        </w:rPr>
        <w:t xml:space="preserve">As detailed in the </w:t>
      </w:r>
      <w:r>
        <w:rPr>
          <w:rFonts w:ascii="Verdana" w:hAnsi="Verdana"/>
          <w:bCs/>
          <w:sz w:val="20"/>
          <w:szCs w:val="20"/>
        </w:rPr>
        <w:t>last RI report</w:t>
      </w:r>
      <w:r w:rsidRPr="0044236A">
        <w:rPr>
          <w:rFonts w:ascii="Verdana" w:hAnsi="Verdana"/>
          <w:bCs/>
          <w:sz w:val="20"/>
          <w:szCs w:val="20"/>
        </w:rPr>
        <w:t xml:space="preserve"> </w:t>
      </w:r>
      <w:r>
        <w:rPr>
          <w:rFonts w:ascii="Verdana" w:hAnsi="Verdana"/>
          <w:bCs/>
          <w:sz w:val="20"/>
          <w:szCs w:val="20"/>
        </w:rPr>
        <w:t xml:space="preserve">to </w:t>
      </w:r>
      <w:r w:rsidRPr="0044236A">
        <w:rPr>
          <w:rFonts w:ascii="Verdana" w:hAnsi="Verdana"/>
          <w:bCs/>
          <w:sz w:val="20"/>
          <w:szCs w:val="20"/>
        </w:rPr>
        <w:t xml:space="preserve">committee, the PRI is co-ordinating an </w:t>
      </w:r>
      <w:r>
        <w:rPr>
          <w:rFonts w:ascii="Verdana" w:hAnsi="Verdana"/>
          <w:bCs/>
          <w:sz w:val="20"/>
          <w:szCs w:val="20"/>
        </w:rPr>
        <w:t xml:space="preserve">investor </w:t>
      </w:r>
      <w:r w:rsidRPr="0044236A">
        <w:rPr>
          <w:rFonts w:ascii="Verdana" w:hAnsi="Verdana"/>
          <w:bCs/>
          <w:sz w:val="20"/>
          <w:szCs w:val="20"/>
        </w:rPr>
        <w:t>engagement on Cyber Risk. The project aim</w:t>
      </w:r>
      <w:r>
        <w:rPr>
          <w:rFonts w:ascii="Verdana" w:hAnsi="Verdana"/>
          <w:bCs/>
          <w:sz w:val="20"/>
          <w:szCs w:val="20"/>
        </w:rPr>
        <w:t>s</w:t>
      </w:r>
      <w:r w:rsidRPr="0044236A">
        <w:rPr>
          <w:rFonts w:ascii="Verdana" w:hAnsi="Verdana"/>
          <w:bCs/>
          <w:sz w:val="20"/>
          <w:szCs w:val="20"/>
        </w:rPr>
        <w:t xml:space="preserve"> to improve risk management from the Board’s perspective and is to be targeted from a governance point of view. Cyber Risk is recognised as an area of technical complexity and Boards need to be fully aware of the risks this brings, and have the knowledge to proactively question management, and ensure the risks are being actively monitored across the organisation.</w:t>
      </w:r>
    </w:p>
    <w:p w:rsidR="007200F8" w:rsidRDefault="00103315" w:rsidP="0044236A">
      <w:pPr>
        <w:jc w:val="both"/>
        <w:rPr>
          <w:rFonts w:ascii="Verdana" w:hAnsi="Verdana"/>
          <w:bCs/>
          <w:sz w:val="20"/>
          <w:szCs w:val="20"/>
        </w:rPr>
      </w:pPr>
      <w:r>
        <w:rPr>
          <w:rFonts w:ascii="Verdana" w:hAnsi="Verdana"/>
          <w:bCs/>
          <w:sz w:val="20"/>
          <w:szCs w:val="20"/>
        </w:rPr>
        <w:t>W</w:t>
      </w:r>
      <w:r w:rsidRPr="0044236A">
        <w:rPr>
          <w:rFonts w:ascii="Verdana" w:hAnsi="Verdana"/>
          <w:bCs/>
          <w:sz w:val="20"/>
          <w:szCs w:val="20"/>
        </w:rPr>
        <w:t xml:space="preserve">hilst </w:t>
      </w:r>
      <w:r>
        <w:rPr>
          <w:rFonts w:ascii="Verdana" w:hAnsi="Verdana"/>
          <w:bCs/>
          <w:sz w:val="20"/>
          <w:szCs w:val="20"/>
        </w:rPr>
        <w:t>it</w:t>
      </w:r>
      <w:r w:rsidRPr="0044236A">
        <w:rPr>
          <w:rFonts w:ascii="Verdana" w:hAnsi="Verdana"/>
          <w:bCs/>
          <w:sz w:val="20"/>
          <w:szCs w:val="20"/>
        </w:rPr>
        <w:t xml:space="preserve"> is unorthodox (since LPP is not a PRI member in its own right)</w:t>
      </w:r>
      <w:r>
        <w:rPr>
          <w:rFonts w:ascii="Verdana" w:hAnsi="Verdana"/>
          <w:bCs/>
          <w:sz w:val="20"/>
          <w:szCs w:val="20"/>
        </w:rPr>
        <w:t xml:space="preserve"> LPP I has been allowed to participate</w:t>
      </w:r>
      <w:r w:rsidRPr="0044236A">
        <w:rPr>
          <w:rFonts w:ascii="Verdana" w:hAnsi="Verdana"/>
          <w:bCs/>
          <w:sz w:val="20"/>
          <w:szCs w:val="20"/>
        </w:rPr>
        <w:t xml:space="preserve"> on </w:t>
      </w:r>
      <w:r>
        <w:rPr>
          <w:rFonts w:ascii="Verdana" w:hAnsi="Verdana"/>
          <w:bCs/>
          <w:sz w:val="20"/>
          <w:szCs w:val="20"/>
        </w:rPr>
        <w:t>behalf of LCPF and LPFA as signatories and clients</w:t>
      </w:r>
      <w:r w:rsidRPr="004F7697">
        <w:rPr>
          <w:rFonts w:ascii="Verdana" w:hAnsi="Verdana"/>
          <w:bCs/>
          <w:sz w:val="20"/>
          <w:szCs w:val="20"/>
        </w:rPr>
        <w:t xml:space="preserve"> </w:t>
      </w:r>
      <w:r>
        <w:rPr>
          <w:rFonts w:ascii="Verdana" w:hAnsi="Verdana"/>
          <w:bCs/>
          <w:sz w:val="20"/>
          <w:szCs w:val="20"/>
        </w:rPr>
        <w:t>on this occasion.</w:t>
      </w:r>
    </w:p>
    <w:p w:rsidR="0041728C" w:rsidRDefault="00103315" w:rsidP="0044236A">
      <w:pPr>
        <w:jc w:val="both"/>
        <w:rPr>
          <w:rFonts w:ascii="Verdana" w:hAnsi="Verdana"/>
          <w:bCs/>
          <w:sz w:val="20"/>
          <w:szCs w:val="20"/>
        </w:rPr>
      </w:pPr>
      <w:r>
        <w:rPr>
          <w:rFonts w:ascii="Verdana" w:hAnsi="Verdana"/>
          <w:bCs/>
          <w:sz w:val="20"/>
          <w:szCs w:val="20"/>
        </w:rPr>
        <w:lastRenderedPageBreak/>
        <w:t xml:space="preserve">Since the Committee's last meeting, a first call has taken place between PRI and the investors who have joined the engagement.  Discussions involved agreeing Terms of Reference and the scheduling and organisation of forthcoming activities. </w:t>
      </w:r>
    </w:p>
    <w:p w:rsidR="00197BA3" w:rsidRPr="008103F0" w:rsidRDefault="00103315"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9F2C10" w:rsidRPr="008103F0" w:rsidRDefault="00302DFD" w:rsidP="003B4083">
      <w:pPr>
        <w:autoSpaceDE w:val="0"/>
        <w:autoSpaceDN w:val="0"/>
        <w:adjustRightInd w:val="0"/>
        <w:spacing w:after="0"/>
        <w:rPr>
          <w:rFonts w:ascii="Verdana" w:hAnsi="Verdana" w:cs="Arial"/>
          <w:color w:val="183850" w:themeColor="text1"/>
          <w:sz w:val="20"/>
          <w:szCs w:val="20"/>
        </w:rPr>
      </w:pPr>
    </w:p>
    <w:p w:rsidR="00601570" w:rsidRPr="00EE2434" w:rsidRDefault="00103315" w:rsidP="00EE2434">
      <w:pPr>
        <w:spacing w:after="0"/>
        <w:jc w:val="both"/>
        <w:rPr>
          <w:rFonts w:ascii="Verdana" w:hAnsi="Verdana"/>
          <w:bCs/>
          <w:sz w:val="20"/>
          <w:szCs w:val="20"/>
        </w:rPr>
      </w:pPr>
      <w:r w:rsidRPr="00EE2434">
        <w:rPr>
          <w:rFonts w:ascii="Verdana" w:hAnsi="Verdana"/>
          <w:bCs/>
          <w:sz w:val="20"/>
          <w:szCs w:val="20"/>
        </w:rPr>
        <w:t>LPP I employs Institutional Protection Services (IPS) as an external provider of litigation monitoring services to ensure shareholder litigation cases affecting securities owned by the GEF are known about, claims are filed in a timely way and progress is monitored and followed up with Claims Administrators.  In addition, IPS monitor cases relating to shares held by LCPF in the period before the Fund pooled its listed equity investments from November 2016.  Litigation can arise quite some time after share</w:t>
      </w:r>
      <w:r>
        <w:rPr>
          <w:rFonts w:ascii="Verdana" w:hAnsi="Verdana"/>
          <w:bCs/>
          <w:sz w:val="20"/>
          <w:szCs w:val="20"/>
        </w:rPr>
        <w:t>s</w:t>
      </w:r>
      <w:r w:rsidRPr="00EE2434">
        <w:rPr>
          <w:rFonts w:ascii="Verdana" w:hAnsi="Verdana"/>
          <w:bCs/>
          <w:sz w:val="20"/>
          <w:szCs w:val="20"/>
        </w:rPr>
        <w:t xml:space="preserve"> have been sold and monitoring new cases and referring back to historic holdings records to establish rights of ownership is an ongoing task.</w:t>
      </w:r>
    </w:p>
    <w:p w:rsidR="00601570" w:rsidRPr="00EE2434" w:rsidRDefault="00302DFD" w:rsidP="00EE2434">
      <w:pPr>
        <w:spacing w:after="0"/>
        <w:jc w:val="both"/>
        <w:rPr>
          <w:rFonts w:ascii="Verdana" w:hAnsi="Verdana"/>
          <w:bCs/>
          <w:sz w:val="20"/>
          <w:szCs w:val="20"/>
        </w:rPr>
      </w:pPr>
    </w:p>
    <w:p w:rsidR="00417476" w:rsidRPr="00EE2434" w:rsidRDefault="00103315" w:rsidP="00EE2434">
      <w:pPr>
        <w:spacing w:after="0"/>
        <w:jc w:val="both"/>
        <w:rPr>
          <w:rFonts w:ascii="Verdana" w:hAnsi="Verdana"/>
          <w:bCs/>
          <w:sz w:val="20"/>
          <w:szCs w:val="20"/>
        </w:rPr>
      </w:pPr>
      <w:r w:rsidRPr="00EE2434">
        <w:rPr>
          <w:rFonts w:ascii="Verdana" w:hAnsi="Verdana"/>
          <w:bCs/>
          <w:sz w:val="20"/>
          <w:szCs w:val="20"/>
        </w:rPr>
        <w:t xml:space="preserve">IPS provide LPP I with monitoring information on a quarterly basis detailing the number of cases investigated.  The monitoring report provided for Q3 2017 confirmed that </w:t>
      </w:r>
    </w:p>
    <w:p w:rsidR="00EC3178" w:rsidRPr="00EE2434" w:rsidRDefault="00103315" w:rsidP="00EE2434">
      <w:pPr>
        <w:spacing w:after="0"/>
        <w:jc w:val="both"/>
        <w:rPr>
          <w:rFonts w:ascii="Verdana" w:hAnsi="Verdana"/>
          <w:bCs/>
          <w:sz w:val="20"/>
          <w:szCs w:val="20"/>
        </w:rPr>
      </w:pPr>
      <w:r w:rsidRPr="00EE2434">
        <w:rPr>
          <w:rFonts w:ascii="Verdana" w:hAnsi="Verdana"/>
          <w:bCs/>
          <w:sz w:val="20"/>
          <w:szCs w:val="20"/>
        </w:rPr>
        <w:t xml:space="preserve">10 potential new cases where the Fund might have an entitlement to join an action were detected in the period July to September 2017. Further analysis discounted 7 of these and the remaining 3 cases </w:t>
      </w:r>
      <w:r>
        <w:rPr>
          <w:rFonts w:ascii="Verdana" w:hAnsi="Verdana"/>
          <w:bCs/>
          <w:sz w:val="20"/>
          <w:szCs w:val="20"/>
        </w:rPr>
        <w:t xml:space="preserve">currently </w:t>
      </w:r>
      <w:r w:rsidRPr="00EE2434">
        <w:rPr>
          <w:rFonts w:ascii="Verdana" w:hAnsi="Verdana"/>
          <w:bCs/>
          <w:sz w:val="20"/>
          <w:szCs w:val="20"/>
        </w:rPr>
        <w:t xml:space="preserve">remain subject to further review. </w:t>
      </w:r>
    </w:p>
    <w:p w:rsidR="00E50F74" w:rsidRPr="008103F0" w:rsidRDefault="00302DFD" w:rsidP="003B4083">
      <w:pPr>
        <w:pStyle w:val="Default"/>
        <w:rPr>
          <w:rFonts w:ascii="Verdana" w:hAnsi="Verdana" w:cs="Arial"/>
          <w:b/>
          <w:bCs/>
          <w:color w:val="54BBAB" w:themeColor="text2"/>
          <w:sz w:val="20"/>
          <w:szCs w:val="20"/>
        </w:rPr>
      </w:pPr>
    </w:p>
    <w:p w:rsidR="00197BA3" w:rsidRDefault="00103315"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Active Investing</w:t>
      </w:r>
    </w:p>
    <w:p w:rsidR="00B67A56" w:rsidRPr="00DB514E" w:rsidRDefault="00302DFD" w:rsidP="00DB514E">
      <w:pPr>
        <w:spacing w:after="0"/>
        <w:jc w:val="both"/>
        <w:rPr>
          <w:rFonts w:ascii="Verdana" w:hAnsi="Verdana"/>
          <w:bCs/>
          <w:sz w:val="20"/>
          <w:szCs w:val="20"/>
        </w:rPr>
      </w:pPr>
    </w:p>
    <w:p w:rsidR="001B6BBC" w:rsidRPr="00DB514E" w:rsidRDefault="00103315" w:rsidP="00DB514E">
      <w:pPr>
        <w:spacing w:after="0"/>
        <w:jc w:val="both"/>
        <w:rPr>
          <w:rFonts w:ascii="Verdana" w:hAnsi="Verdana"/>
          <w:bCs/>
          <w:sz w:val="20"/>
          <w:szCs w:val="20"/>
        </w:rPr>
      </w:pPr>
      <w:r w:rsidRPr="00DB514E">
        <w:rPr>
          <w:rFonts w:ascii="Verdana" w:hAnsi="Verdana"/>
          <w:bCs/>
          <w:sz w:val="20"/>
          <w:szCs w:val="20"/>
        </w:rPr>
        <w:t>This section of the RI report is dedicated to updating the Committee on new developments within stewardship and RI and interpreting these within the context of the Fund's responsibilities and interests.</w:t>
      </w:r>
    </w:p>
    <w:p w:rsidR="001B6BBC" w:rsidRPr="008103F0" w:rsidRDefault="00302DFD" w:rsidP="003B4083">
      <w:pPr>
        <w:autoSpaceDE w:val="0"/>
        <w:autoSpaceDN w:val="0"/>
        <w:adjustRightInd w:val="0"/>
        <w:spacing w:after="0" w:line="240" w:lineRule="auto"/>
        <w:rPr>
          <w:rFonts w:ascii="Verdana" w:hAnsi="Verdana" w:cs="Verdana"/>
          <w:color w:val="183850" w:themeColor="text1"/>
          <w:sz w:val="20"/>
          <w:szCs w:val="20"/>
        </w:rPr>
      </w:pPr>
    </w:p>
    <w:p w:rsidR="002C7390" w:rsidRPr="00EE2434" w:rsidRDefault="00103315" w:rsidP="002C7390">
      <w:pPr>
        <w:spacing w:after="0"/>
        <w:rPr>
          <w:rFonts w:ascii="Verdana" w:hAnsi="Verdana" w:cs="Arial"/>
          <w:b/>
          <w:color w:val="333333"/>
          <w:sz w:val="20"/>
          <w:szCs w:val="20"/>
          <w:lang w:val="en-US"/>
        </w:rPr>
      </w:pPr>
      <w:r>
        <w:rPr>
          <w:rFonts w:ascii="Verdana" w:hAnsi="Verdana" w:cs="Arial"/>
          <w:b/>
          <w:color w:val="333333"/>
          <w:sz w:val="20"/>
          <w:szCs w:val="20"/>
          <w:lang w:val="en-US"/>
        </w:rPr>
        <w:t>Fuelling the Fire (LGPS Investments in Fossil Fuels)</w:t>
      </w:r>
      <w:r w:rsidR="00302DFD">
        <w:rPr>
          <w:rFonts w:ascii="Verdana" w:hAnsi="Verdana" w:cs="Arial"/>
          <w:b/>
          <w:color w:val="333333"/>
          <w:sz w:val="20"/>
          <w:szCs w:val="20"/>
          <w:lang w:val="en-US"/>
        </w:rPr>
        <w:t xml:space="preserve"> – Appendix A3</w:t>
      </w:r>
    </w:p>
    <w:p w:rsidR="002C7390" w:rsidRDefault="00302DFD" w:rsidP="002C7390">
      <w:pPr>
        <w:spacing w:after="0"/>
        <w:rPr>
          <w:rFonts w:ascii="Verdana" w:hAnsi="Verdana"/>
          <w:bCs/>
          <w:sz w:val="20"/>
          <w:szCs w:val="20"/>
        </w:rPr>
      </w:pPr>
    </w:p>
    <w:p w:rsidR="003C4C67" w:rsidRPr="00DB514E" w:rsidRDefault="00103315" w:rsidP="00EE2434">
      <w:pPr>
        <w:jc w:val="both"/>
        <w:rPr>
          <w:rFonts w:ascii="Verdana" w:hAnsi="Verdana"/>
          <w:bCs/>
          <w:sz w:val="20"/>
          <w:szCs w:val="20"/>
        </w:rPr>
      </w:pPr>
      <w:r>
        <w:rPr>
          <w:rFonts w:ascii="Verdana" w:hAnsi="Verdana"/>
          <w:bCs/>
          <w:sz w:val="20"/>
          <w:szCs w:val="20"/>
        </w:rPr>
        <w:t>Subtitled "A new report on the local government pension scheme and fossil fuels" Fuelling the Fire was published online on Thursday 9</w:t>
      </w:r>
      <w:r w:rsidRPr="00EE2434">
        <w:rPr>
          <w:rFonts w:ascii="Verdana" w:hAnsi="Verdana"/>
          <w:bCs/>
          <w:sz w:val="20"/>
          <w:szCs w:val="20"/>
          <w:vertAlign w:val="superscript"/>
        </w:rPr>
        <w:t>th</w:t>
      </w:r>
      <w:r>
        <w:rPr>
          <w:rFonts w:ascii="Verdana" w:hAnsi="Verdana"/>
          <w:bCs/>
          <w:sz w:val="20"/>
          <w:szCs w:val="20"/>
        </w:rPr>
        <w:t xml:space="preserve"> November by GoFossilFree, an umbrella organisation representing 350.org, Friends of the Earth, Platform and Community </w:t>
      </w:r>
      <w:r w:rsidRPr="00DB514E">
        <w:rPr>
          <w:rFonts w:ascii="Verdana" w:hAnsi="Verdana"/>
          <w:bCs/>
          <w:sz w:val="20"/>
          <w:szCs w:val="20"/>
        </w:rPr>
        <w:t xml:space="preserve">Reinvest. </w:t>
      </w:r>
      <w:hyperlink r:id="rId12" w:history="1">
        <w:r w:rsidRPr="00DB514E">
          <w:rPr>
            <w:rFonts w:ascii="Verdana" w:hAnsi="Verdana"/>
            <w:sz w:val="20"/>
            <w:szCs w:val="20"/>
          </w:rPr>
          <w:t>https://gofossilfree.org/uk/fuellingthefire/</w:t>
        </w:r>
      </w:hyperlink>
    </w:p>
    <w:p w:rsidR="00DE4F9B" w:rsidRDefault="00103315" w:rsidP="00EE2434">
      <w:pPr>
        <w:jc w:val="both"/>
        <w:rPr>
          <w:rFonts w:ascii="Verdana" w:hAnsi="Verdana"/>
          <w:bCs/>
          <w:sz w:val="20"/>
          <w:szCs w:val="20"/>
        </w:rPr>
      </w:pPr>
      <w:r>
        <w:rPr>
          <w:rFonts w:ascii="Verdana" w:hAnsi="Verdana"/>
          <w:bCs/>
          <w:sz w:val="20"/>
          <w:szCs w:val="20"/>
        </w:rPr>
        <w:t>The report presents the results of re-visiting the issue of LGPS exposure of LGPS after a two year break since a first set of figures was published in September 2015.</w:t>
      </w:r>
      <w:r w:rsidRPr="003C4C67">
        <w:rPr>
          <w:rFonts w:ascii="Verdana" w:hAnsi="Verdana"/>
          <w:bCs/>
          <w:sz w:val="20"/>
          <w:szCs w:val="20"/>
        </w:rPr>
        <w:t xml:space="preserve"> </w:t>
      </w:r>
      <w:r>
        <w:rPr>
          <w:rFonts w:ascii="Verdana" w:hAnsi="Verdana"/>
          <w:bCs/>
          <w:sz w:val="20"/>
          <w:szCs w:val="20"/>
        </w:rPr>
        <w:t>The holdings data used to produce calculations is described as being based on the end of 2017 financial year (presumably March 2017) and retrieved from responses given to Freedom of Information requests.</w:t>
      </w:r>
    </w:p>
    <w:p w:rsidR="00DE4F9B" w:rsidRDefault="00103315" w:rsidP="00EE2434">
      <w:pPr>
        <w:jc w:val="both"/>
        <w:rPr>
          <w:rFonts w:ascii="Verdana" w:hAnsi="Verdana"/>
          <w:bCs/>
          <w:sz w:val="20"/>
          <w:szCs w:val="20"/>
        </w:rPr>
      </w:pPr>
      <w:r>
        <w:rPr>
          <w:rFonts w:ascii="Verdana" w:hAnsi="Verdana"/>
          <w:bCs/>
          <w:sz w:val="20"/>
          <w:szCs w:val="20"/>
        </w:rPr>
        <w:t xml:space="preserve">The new report presents an analysis and league table of funds showing their direct and indirect interests in the world's 200 biggest extractors of fossil fuels. The outcome of comparison is the headline finding that whilst the value of LGPS investments in the sector has increased, the aggregate proportion invested in fossil fuels has decreased. </w:t>
      </w:r>
    </w:p>
    <w:p w:rsidR="00DE4F9B" w:rsidRDefault="00103315" w:rsidP="00EE2434">
      <w:pPr>
        <w:jc w:val="both"/>
        <w:rPr>
          <w:rFonts w:ascii="Verdana" w:hAnsi="Verdana"/>
          <w:bCs/>
          <w:sz w:val="20"/>
          <w:szCs w:val="20"/>
        </w:rPr>
      </w:pPr>
      <w:r>
        <w:rPr>
          <w:noProof/>
          <w:lang w:eastAsia="en-GB"/>
        </w:rPr>
        <w:drawing>
          <wp:inline distT="0" distB="0" distL="0" distR="0">
            <wp:extent cx="5731510" cy="8705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70585"/>
                    </a:xfrm>
                    <a:prstGeom prst="rect">
                      <a:avLst/>
                    </a:prstGeom>
                  </pic:spPr>
                </pic:pic>
              </a:graphicData>
            </a:graphic>
          </wp:inline>
        </w:drawing>
      </w:r>
    </w:p>
    <w:p w:rsidR="00867EBE" w:rsidRDefault="00103315" w:rsidP="00867EBE">
      <w:pPr>
        <w:spacing w:after="0"/>
        <w:jc w:val="both"/>
        <w:rPr>
          <w:rFonts w:ascii="Verdana" w:hAnsi="Verdana"/>
          <w:bCs/>
          <w:sz w:val="20"/>
          <w:szCs w:val="20"/>
        </w:rPr>
      </w:pPr>
      <w:r>
        <w:rPr>
          <w:rFonts w:ascii="Verdana" w:hAnsi="Verdana"/>
          <w:bCs/>
          <w:sz w:val="20"/>
          <w:szCs w:val="20"/>
        </w:rPr>
        <w:t xml:space="preserve">LCPF is identified within the list of 10 Funds with highest total investment in fossil fuels (£340m) which is a simple measure of quantum. LCPF does not feature within the table of </w:t>
      </w:r>
      <w:r>
        <w:rPr>
          <w:rFonts w:ascii="Verdana" w:hAnsi="Verdana"/>
          <w:bCs/>
          <w:sz w:val="20"/>
          <w:szCs w:val="20"/>
        </w:rPr>
        <w:lastRenderedPageBreak/>
        <w:t>funds with the highest proportion of their assets in fossil fuels, the highest being Greater Manchester at 10.2%. Lancashire's figure is quoted in the league table as 4.8%.</w:t>
      </w:r>
    </w:p>
    <w:p w:rsidR="00867EBE" w:rsidRDefault="00302DFD" w:rsidP="00867EBE">
      <w:pPr>
        <w:spacing w:after="0"/>
        <w:jc w:val="both"/>
        <w:rPr>
          <w:rFonts w:ascii="Verdana" w:hAnsi="Verdana"/>
          <w:bCs/>
          <w:sz w:val="20"/>
          <w:szCs w:val="20"/>
        </w:rPr>
      </w:pPr>
    </w:p>
    <w:p w:rsidR="002C7390" w:rsidRPr="00EE2434" w:rsidRDefault="00103315" w:rsidP="00867EBE">
      <w:pPr>
        <w:spacing w:after="0"/>
        <w:jc w:val="both"/>
        <w:rPr>
          <w:rFonts w:ascii="Verdana" w:hAnsi="Verdana"/>
          <w:bCs/>
          <w:sz w:val="20"/>
          <w:szCs w:val="20"/>
        </w:rPr>
      </w:pPr>
      <w:r>
        <w:rPr>
          <w:rFonts w:ascii="Verdana" w:hAnsi="Verdana"/>
          <w:bCs/>
          <w:sz w:val="20"/>
          <w:szCs w:val="20"/>
        </w:rPr>
        <w:t>The Local Pensions Partnership is identified as the LGPS pool with the lowest level of exposure (2.5%) based on a calculation which includes Berkshire, LCPF and LPFA assets.</w:t>
      </w:r>
    </w:p>
    <w:p w:rsidR="002C7390" w:rsidRDefault="00302DFD" w:rsidP="00EE2434">
      <w:pPr>
        <w:jc w:val="both"/>
        <w:rPr>
          <w:rFonts w:ascii="Verdana" w:hAnsi="Verdana"/>
          <w:bCs/>
          <w:sz w:val="20"/>
          <w:szCs w:val="20"/>
        </w:rPr>
      </w:pPr>
    </w:p>
    <w:p w:rsidR="00867EBE" w:rsidRDefault="00103315" w:rsidP="00EE2434">
      <w:pPr>
        <w:jc w:val="both"/>
        <w:rPr>
          <w:rFonts w:ascii="Verdana" w:hAnsi="Verdana"/>
          <w:bCs/>
          <w:sz w:val="20"/>
          <w:szCs w:val="20"/>
        </w:rPr>
      </w:pPr>
      <w:r>
        <w:rPr>
          <w:noProof/>
          <w:lang w:eastAsia="en-GB"/>
        </w:rPr>
        <w:drawing>
          <wp:inline distT="0" distB="0" distL="0" distR="0">
            <wp:extent cx="5731510" cy="23888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88870"/>
                    </a:xfrm>
                    <a:prstGeom prst="rect">
                      <a:avLst/>
                    </a:prstGeom>
                  </pic:spPr>
                </pic:pic>
              </a:graphicData>
            </a:graphic>
          </wp:inline>
        </w:drawing>
      </w:r>
    </w:p>
    <w:p w:rsidR="00B2665A" w:rsidRPr="00692968" w:rsidRDefault="00103315" w:rsidP="00692968">
      <w:pPr>
        <w:pStyle w:val="NormalWeb"/>
        <w:rPr>
          <w:rFonts w:ascii="Verdana" w:hAnsi="Verdana"/>
          <w:bCs/>
          <w:sz w:val="20"/>
          <w:szCs w:val="20"/>
        </w:rPr>
      </w:pPr>
      <w:r>
        <w:rPr>
          <w:rFonts w:ascii="Verdana" w:hAnsi="Verdana"/>
          <w:bCs/>
          <w:sz w:val="20"/>
          <w:szCs w:val="20"/>
        </w:rPr>
        <w:t>The publication of Fuelling the Fire was accompanied by a blanket email campaign encouraging constituents to send a standard email to their elected representatives asking them to support the divestment of their Local Government Pension Fund from fossil fuels.</w:t>
      </w:r>
      <w:r w:rsidRPr="00C53B25">
        <w:rPr>
          <w:rFonts w:ascii="Verdana" w:hAnsi="Verdana"/>
          <w:bCs/>
          <w:sz w:val="20"/>
          <w:szCs w:val="20"/>
        </w:rPr>
        <w:t xml:space="preserve"> A number of elected members at Lancashire County Council have been recipients </w:t>
      </w:r>
      <w:r>
        <w:rPr>
          <w:rFonts w:ascii="Verdana" w:hAnsi="Verdana"/>
          <w:bCs/>
          <w:sz w:val="20"/>
          <w:szCs w:val="20"/>
        </w:rPr>
        <w:t>of this</w:t>
      </w:r>
      <w:r w:rsidRPr="00C53B25">
        <w:rPr>
          <w:rFonts w:ascii="Verdana" w:hAnsi="Verdana"/>
          <w:bCs/>
          <w:sz w:val="20"/>
          <w:szCs w:val="20"/>
        </w:rPr>
        <w:t xml:space="preserve"> email </w:t>
      </w:r>
      <w:r>
        <w:rPr>
          <w:rFonts w:ascii="Verdana" w:hAnsi="Verdana"/>
          <w:bCs/>
          <w:sz w:val="20"/>
          <w:szCs w:val="20"/>
        </w:rPr>
        <w:t>to which a standard response has been produced (agreed by the Head of Fund and the Chair of the Pension Fund Committee).</w:t>
      </w:r>
    </w:p>
    <w:p w:rsidR="001D2D46" w:rsidRPr="006544C0" w:rsidRDefault="00103315" w:rsidP="001D2D46">
      <w:pPr>
        <w:contextualSpacing/>
        <w:rPr>
          <w:rFonts w:ascii="Verdana" w:hAnsi="Verdana"/>
          <w:b/>
          <w:sz w:val="20"/>
          <w:szCs w:val="20"/>
        </w:rPr>
      </w:pPr>
      <w:r>
        <w:rPr>
          <w:rFonts w:ascii="Verdana" w:hAnsi="Verdana"/>
          <w:b/>
          <w:sz w:val="20"/>
          <w:szCs w:val="20"/>
        </w:rPr>
        <w:t>Review of the UK Stewardship Code</w:t>
      </w:r>
    </w:p>
    <w:p w:rsidR="001D2D46" w:rsidRDefault="00302DFD" w:rsidP="001D2D46">
      <w:pPr>
        <w:contextualSpacing/>
        <w:rPr>
          <w:rFonts w:ascii="Verdana" w:hAnsi="Verdana"/>
          <w:sz w:val="20"/>
          <w:szCs w:val="20"/>
        </w:rPr>
      </w:pPr>
    </w:p>
    <w:p w:rsidR="001D2D46" w:rsidRDefault="00103315" w:rsidP="001D2D46">
      <w:pPr>
        <w:contextualSpacing/>
        <w:rPr>
          <w:rFonts w:ascii="Verdana" w:hAnsi="Verdana"/>
          <w:sz w:val="20"/>
          <w:szCs w:val="20"/>
        </w:rPr>
      </w:pPr>
      <w:r>
        <w:rPr>
          <w:rFonts w:ascii="Verdana" w:hAnsi="Verdana"/>
          <w:sz w:val="20"/>
          <w:szCs w:val="20"/>
        </w:rPr>
        <w:t>RI practitioners from each of the LGPS pools were recently invited to meet with the Financial Reporting Council (FRC) to consider a proposed review of the UK Stewardship Code. The Code has not been refreshed since 2012 and it is acknowledged that stewardship best practice has evolved in the intervening period. A meeting between the FRC and RI Sub-Group members took place on 13</w:t>
      </w:r>
      <w:r w:rsidRPr="00103831">
        <w:rPr>
          <w:rFonts w:ascii="Verdana" w:hAnsi="Verdana"/>
          <w:sz w:val="20"/>
          <w:szCs w:val="20"/>
          <w:vertAlign w:val="superscript"/>
        </w:rPr>
        <w:t>th</w:t>
      </w:r>
      <w:r>
        <w:rPr>
          <w:rFonts w:ascii="Verdana" w:hAnsi="Verdana"/>
          <w:sz w:val="20"/>
          <w:szCs w:val="20"/>
        </w:rPr>
        <w:t xml:space="preserve"> October 2017 and occasioned an initial exchange of views.</w:t>
      </w:r>
    </w:p>
    <w:p w:rsidR="001D2D46" w:rsidRDefault="00302DFD" w:rsidP="001D2D46">
      <w:pPr>
        <w:contextualSpacing/>
        <w:rPr>
          <w:rFonts w:ascii="Verdana" w:hAnsi="Verdana"/>
          <w:sz w:val="20"/>
          <w:szCs w:val="20"/>
        </w:rPr>
      </w:pPr>
    </w:p>
    <w:p w:rsidR="001D2D46" w:rsidRPr="0007420E" w:rsidRDefault="00103315" w:rsidP="001D2D46">
      <w:pPr>
        <w:contextualSpacing/>
        <w:rPr>
          <w:rFonts w:ascii="Verdana" w:hAnsi="Verdana"/>
          <w:sz w:val="20"/>
          <w:szCs w:val="20"/>
        </w:rPr>
      </w:pPr>
      <w:r>
        <w:rPr>
          <w:rFonts w:ascii="Verdana" w:hAnsi="Verdana"/>
          <w:sz w:val="20"/>
          <w:szCs w:val="20"/>
        </w:rPr>
        <w:t xml:space="preserve">It was clarified that a review of the Stewardship Code will </w:t>
      </w:r>
      <w:r w:rsidRPr="0007420E">
        <w:rPr>
          <w:rFonts w:ascii="Verdana" w:hAnsi="Verdana"/>
          <w:sz w:val="20"/>
          <w:szCs w:val="20"/>
        </w:rPr>
        <w:t>not involve a formal consultation of the type due to be issued shortly on the Corporate Governance Code but will</w:t>
      </w:r>
      <w:r>
        <w:rPr>
          <w:rFonts w:ascii="Verdana" w:hAnsi="Verdana"/>
          <w:sz w:val="20"/>
          <w:szCs w:val="20"/>
        </w:rPr>
        <w:t xml:space="preserve"> feature</w:t>
      </w:r>
      <w:r w:rsidRPr="0007420E">
        <w:rPr>
          <w:rFonts w:ascii="Verdana" w:hAnsi="Verdana"/>
          <w:sz w:val="20"/>
          <w:szCs w:val="20"/>
        </w:rPr>
        <w:t xml:space="preserve"> an exercise in gathering ideas on how the Cod</w:t>
      </w:r>
      <w:r>
        <w:rPr>
          <w:rFonts w:ascii="Verdana" w:hAnsi="Verdana"/>
          <w:sz w:val="20"/>
          <w:szCs w:val="20"/>
        </w:rPr>
        <w:t>e could usefully be developed. The r</w:t>
      </w:r>
      <w:r w:rsidRPr="0007420E">
        <w:rPr>
          <w:rFonts w:ascii="Verdana" w:hAnsi="Verdana"/>
          <w:sz w:val="20"/>
          <w:szCs w:val="20"/>
        </w:rPr>
        <w:t>esponses received will be the basis for the FRC producing an updated draft of the Code which wil</w:t>
      </w:r>
      <w:r>
        <w:rPr>
          <w:rFonts w:ascii="Verdana" w:hAnsi="Verdana"/>
          <w:sz w:val="20"/>
          <w:szCs w:val="20"/>
        </w:rPr>
        <w:t>l then occasion a full consultation before any new version of the code is adopted</w:t>
      </w:r>
      <w:r w:rsidRPr="0007420E">
        <w:rPr>
          <w:rFonts w:ascii="Verdana" w:hAnsi="Verdana"/>
          <w:sz w:val="20"/>
          <w:szCs w:val="20"/>
        </w:rPr>
        <w:t xml:space="preserve">. </w:t>
      </w:r>
    </w:p>
    <w:p w:rsidR="001D2D46" w:rsidRPr="00B2665A" w:rsidRDefault="00302DFD" w:rsidP="00B2665A">
      <w:pPr>
        <w:spacing w:after="0"/>
        <w:rPr>
          <w:rFonts w:ascii="Verdana" w:hAnsi="Verdana"/>
          <w:sz w:val="20"/>
          <w:szCs w:val="20"/>
        </w:rPr>
      </w:pPr>
    </w:p>
    <w:p w:rsidR="004F231C" w:rsidRPr="000674D2" w:rsidRDefault="00103315" w:rsidP="004F231C">
      <w:pPr>
        <w:contextualSpacing/>
        <w:rPr>
          <w:rFonts w:ascii="Verdana" w:hAnsi="Verdana"/>
          <w:sz w:val="20"/>
          <w:szCs w:val="20"/>
        </w:rPr>
      </w:pPr>
      <w:r w:rsidRPr="006544C0">
        <w:rPr>
          <w:rFonts w:ascii="Verdana" w:hAnsi="Verdana"/>
          <w:b/>
          <w:sz w:val="20"/>
          <w:szCs w:val="20"/>
        </w:rPr>
        <w:t>Workforce D</w:t>
      </w:r>
      <w:r>
        <w:rPr>
          <w:rFonts w:ascii="Verdana" w:hAnsi="Verdana"/>
          <w:b/>
          <w:sz w:val="20"/>
          <w:szCs w:val="20"/>
        </w:rPr>
        <w:t>isclosure</w:t>
      </w:r>
      <w:r w:rsidRPr="006544C0">
        <w:rPr>
          <w:rFonts w:ascii="Verdana" w:hAnsi="Verdana"/>
          <w:b/>
          <w:sz w:val="20"/>
          <w:szCs w:val="20"/>
        </w:rPr>
        <w:t xml:space="preserve"> Initiative</w:t>
      </w:r>
      <w:r>
        <w:rPr>
          <w:rFonts w:ascii="Verdana" w:hAnsi="Verdana"/>
          <w:b/>
          <w:sz w:val="20"/>
          <w:szCs w:val="20"/>
        </w:rPr>
        <w:t xml:space="preserve"> (WDI)</w:t>
      </w:r>
      <w:r w:rsidRPr="006544C0">
        <w:rPr>
          <w:rFonts w:ascii="Verdana" w:hAnsi="Verdana"/>
          <w:b/>
          <w:sz w:val="20"/>
          <w:szCs w:val="20"/>
        </w:rPr>
        <w:t xml:space="preserve"> – update</w:t>
      </w:r>
    </w:p>
    <w:p w:rsidR="004F231C" w:rsidRPr="004F231C" w:rsidRDefault="00302DFD" w:rsidP="004F231C">
      <w:pPr>
        <w:autoSpaceDE w:val="0"/>
        <w:autoSpaceDN w:val="0"/>
        <w:adjustRightInd w:val="0"/>
        <w:spacing w:after="0"/>
        <w:rPr>
          <w:rFonts w:ascii="Verdana" w:hAnsi="Verdana"/>
          <w:sz w:val="20"/>
          <w:szCs w:val="20"/>
        </w:rPr>
      </w:pPr>
    </w:p>
    <w:p w:rsidR="004F231C" w:rsidRPr="004F231C" w:rsidRDefault="00103315" w:rsidP="004F231C">
      <w:pPr>
        <w:spacing w:after="0"/>
        <w:rPr>
          <w:rFonts w:ascii="Verdana" w:hAnsi="Verdana"/>
          <w:sz w:val="20"/>
          <w:szCs w:val="20"/>
        </w:rPr>
      </w:pPr>
      <w:r w:rsidRPr="004F231C">
        <w:rPr>
          <w:rFonts w:ascii="Verdana" w:hAnsi="Verdana"/>
          <w:sz w:val="20"/>
          <w:szCs w:val="20"/>
        </w:rPr>
        <w:t>LPP I is a named supporter of the WDI, a project which aims to "bring institutional investors together behind a call for comparable workforce reporting by publicly listed companies on their global operations and supply chains". 88 institutions managing $8.6 trillion in assets are named supporters.</w:t>
      </w:r>
    </w:p>
    <w:p w:rsidR="004F231C" w:rsidRPr="004F231C" w:rsidRDefault="00302DFD" w:rsidP="004F231C">
      <w:pPr>
        <w:spacing w:after="0"/>
        <w:rPr>
          <w:rFonts w:ascii="Verdana" w:hAnsi="Verdana"/>
          <w:sz w:val="20"/>
          <w:szCs w:val="20"/>
        </w:rPr>
      </w:pPr>
    </w:p>
    <w:p w:rsidR="004F231C" w:rsidRPr="004F231C" w:rsidRDefault="00103315" w:rsidP="004F231C">
      <w:pPr>
        <w:spacing w:after="0"/>
        <w:rPr>
          <w:rFonts w:ascii="Verdana" w:hAnsi="Verdana"/>
          <w:sz w:val="20"/>
          <w:szCs w:val="20"/>
        </w:rPr>
      </w:pPr>
      <w:r w:rsidRPr="004F231C">
        <w:rPr>
          <w:rFonts w:ascii="Verdana" w:hAnsi="Verdana"/>
          <w:sz w:val="20"/>
          <w:szCs w:val="20"/>
        </w:rPr>
        <w:lastRenderedPageBreak/>
        <w:t xml:space="preserve">ShareAction </w:t>
      </w:r>
      <w:r>
        <w:rPr>
          <w:rFonts w:ascii="Verdana" w:hAnsi="Verdana"/>
          <w:sz w:val="20"/>
          <w:szCs w:val="20"/>
        </w:rPr>
        <w:t>are</w:t>
      </w:r>
      <w:r w:rsidRPr="004F231C">
        <w:rPr>
          <w:rFonts w:ascii="Verdana" w:hAnsi="Verdana"/>
          <w:sz w:val="20"/>
          <w:szCs w:val="20"/>
        </w:rPr>
        <w:t xml:space="preserve"> </w:t>
      </w:r>
      <w:r>
        <w:rPr>
          <w:rFonts w:ascii="Verdana" w:hAnsi="Verdana"/>
          <w:sz w:val="20"/>
          <w:szCs w:val="20"/>
        </w:rPr>
        <w:t xml:space="preserve">managing a pilot </w:t>
      </w:r>
      <w:r w:rsidRPr="004F231C">
        <w:rPr>
          <w:rFonts w:ascii="Verdana" w:hAnsi="Verdana"/>
          <w:sz w:val="20"/>
          <w:szCs w:val="20"/>
        </w:rPr>
        <w:t xml:space="preserve">survey </w:t>
      </w:r>
      <w:r>
        <w:rPr>
          <w:rFonts w:ascii="Verdana" w:hAnsi="Verdana"/>
          <w:sz w:val="20"/>
          <w:szCs w:val="20"/>
        </w:rPr>
        <w:t xml:space="preserve">for the WDI </w:t>
      </w:r>
      <w:r w:rsidRPr="004F231C">
        <w:rPr>
          <w:rFonts w:ascii="Verdana" w:hAnsi="Verdana"/>
          <w:sz w:val="20"/>
          <w:szCs w:val="20"/>
        </w:rPr>
        <w:t xml:space="preserve">programme and </w:t>
      </w:r>
      <w:r>
        <w:rPr>
          <w:rFonts w:ascii="Verdana" w:hAnsi="Verdana"/>
          <w:sz w:val="20"/>
          <w:szCs w:val="20"/>
        </w:rPr>
        <w:t>have</w:t>
      </w:r>
      <w:r w:rsidRPr="004F231C">
        <w:rPr>
          <w:rFonts w:ascii="Verdana" w:hAnsi="Verdana"/>
          <w:sz w:val="20"/>
          <w:szCs w:val="20"/>
        </w:rPr>
        <w:t xml:space="preserve"> circulated a detailed questionnaire to a subset of 75 companies. This seeks information on workforce composition, workforce development, and worker engagement. The intention is that the survey's coverage will be expanded over time to encourage better corporate disclosure to a standard format. </w:t>
      </w:r>
    </w:p>
    <w:p w:rsidR="004F231C" w:rsidRPr="004F231C" w:rsidRDefault="00302DFD" w:rsidP="004F231C">
      <w:pPr>
        <w:spacing w:after="0"/>
        <w:rPr>
          <w:rFonts w:ascii="Verdana" w:hAnsi="Verdana"/>
          <w:sz w:val="20"/>
          <w:szCs w:val="20"/>
        </w:rPr>
      </w:pPr>
    </w:p>
    <w:p w:rsidR="004F231C" w:rsidRPr="004F231C" w:rsidRDefault="00103315" w:rsidP="004F231C">
      <w:pPr>
        <w:spacing w:after="0"/>
        <w:rPr>
          <w:rFonts w:ascii="Verdana" w:hAnsi="Verdana"/>
          <w:sz w:val="20"/>
          <w:szCs w:val="20"/>
        </w:rPr>
      </w:pPr>
      <w:r w:rsidRPr="004F231C">
        <w:rPr>
          <w:rFonts w:ascii="Verdana" w:hAnsi="Verdana"/>
          <w:sz w:val="20"/>
          <w:szCs w:val="20"/>
        </w:rPr>
        <w:t xml:space="preserve">ShareAction have produced two Signatory Bulletins (Sept and October 2017) to update supporters. These confirm that the deadline for survey responses has been </w:t>
      </w:r>
      <w:r>
        <w:rPr>
          <w:rFonts w:ascii="Verdana" w:hAnsi="Verdana"/>
          <w:sz w:val="20"/>
          <w:szCs w:val="20"/>
        </w:rPr>
        <w:t xml:space="preserve">extended </w:t>
      </w:r>
      <w:r w:rsidRPr="004F231C">
        <w:rPr>
          <w:rFonts w:ascii="Verdana" w:hAnsi="Verdana"/>
          <w:sz w:val="20"/>
          <w:szCs w:val="20"/>
        </w:rPr>
        <w:t>and it is expected that 33 companie</w:t>
      </w:r>
      <w:r>
        <w:rPr>
          <w:rFonts w:ascii="Verdana" w:hAnsi="Verdana"/>
          <w:sz w:val="20"/>
          <w:szCs w:val="20"/>
        </w:rPr>
        <w:t xml:space="preserve">s will respond in total (44%). </w:t>
      </w:r>
      <w:r w:rsidRPr="004F231C">
        <w:rPr>
          <w:rFonts w:ascii="Verdana" w:hAnsi="Verdana"/>
          <w:sz w:val="20"/>
          <w:szCs w:val="20"/>
        </w:rPr>
        <w:t>Responses will be analysed in order to produce a short summary of findings for supporters due out in late December. An investor roundtable in January 2018 will allow supporters to discuss initial findings, share ideas on investor engagement and discuss next steps, including which countries and regions to target in the 2018 cycle.</w:t>
      </w:r>
    </w:p>
    <w:p w:rsidR="004F231C" w:rsidRPr="004F231C" w:rsidRDefault="00302DFD" w:rsidP="004F231C">
      <w:pPr>
        <w:spacing w:after="0"/>
        <w:rPr>
          <w:rFonts w:ascii="Verdana" w:hAnsi="Verdana"/>
          <w:sz w:val="20"/>
          <w:szCs w:val="20"/>
        </w:rPr>
      </w:pPr>
    </w:p>
    <w:p w:rsidR="001275B3" w:rsidRDefault="00302DFD" w:rsidP="003B4083">
      <w:pPr>
        <w:spacing w:after="0"/>
        <w:rPr>
          <w:rFonts w:ascii="Verdana" w:hAnsi="Verdana"/>
          <w:b/>
          <w:color w:val="183850" w:themeColor="text1"/>
          <w:sz w:val="20"/>
        </w:rPr>
      </w:pPr>
    </w:p>
    <w:p w:rsidR="00C7234A" w:rsidRPr="00C7234A" w:rsidRDefault="00103315" w:rsidP="00C7234A">
      <w:pPr>
        <w:pStyle w:val="treb"/>
        <w:numPr>
          <w:ilvl w:val="0"/>
          <w:numId w:val="5"/>
        </w:numPr>
        <w:spacing w:after="0"/>
        <w:ind w:left="0" w:firstLine="0"/>
        <w:rPr>
          <w:rFonts w:ascii="Verdana" w:hAnsi="Verdana"/>
          <w:color w:val="54BBAB" w:themeColor="text2"/>
          <w:sz w:val="20"/>
          <w:szCs w:val="20"/>
        </w:rPr>
      </w:pPr>
      <w:r w:rsidRPr="00C7234A">
        <w:rPr>
          <w:rFonts w:ascii="Verdana" w:hAnsi="Verdana"/>
          <w:color w:val="54BBAB" w:themeColor="text2"/>
          <w:sz w:val="20"/>
          <w:szCs w:val="20"/>
        </w:rPr>
        <w:t>Other Matters</w:t>
      </w:r>
      <w:r w:rsidRPr="00A0748B">
        <w:rPr>
          <w:rFonts w:ascii="Verdana" w:hAnsi="Verdana"/>
          <w:b w:val="0"/>
          <w:sz w:val="20"/>
          <w:szCs w:val="20"/>
          <w:highlight w:val="yellow"/>
        </w:rPr>
        <w:t xml:space="preserve"> </w:t>
      </w:r>
    </w:p>
    <w:p w:rsidR="00E04E31" w:rsidRDefault="00302DFD" w:rsidP="008E62D7">
      <w:pPr>
        <w:autoSpaceDE w:val="0"/>
        <w:autoSpaceDN w:val="0"/>
        <w:adjustRightInd w:val="0"/>
        <w:spacing w:after="0" w:line="240" w:lineRule="auto"/>
        <w:rPr>
          <w:rFonts w:ascii="Verdana" w:hAnsi="Verdana" w:cs="Verdana"/>
          <w:color w:val="183850" w:themeColor="text1"/>
          <w:sz w:val="20"/>
          <w:szCs w:val="20"/>
        </w:rPr>
      </w:pPr>
    </w:p>
    <w:p w:rsidR="00EE2434" w:rsidRDefault="00103315" w:rsidP="00124357">
      <w:pPr>
        <w:spacing w:after="0"/>
        <w:rPr>
          <w:rFonts w:ascii="Verdana" w:hAnsi="Verdana"/>
          <w:b/>
          <w:sz w:val="20"/>
          <w:szCs w:val="20"/>
        </w:rPr>
      </w:pPr>
      <w:r w:rsidRPr="00124357">
        <w:rPr>
          <w:rFonts w:ascii="Verdana" w:hAnsi="Verdana"/>
          <w:b/>
          <w:sz w:val="20"/>
          <w:szCs w:val="20"/>
        </w:rPr>
        <w:t>Principles of Responsible Investment – Outcome of 2017 Reporting Assessment</w:t>
      </w:r>
    </w:p>
    <w:p w:rsidR="00124357" w:rsidRDefault="00103315" w:rsidP="00124357">
      <w:pPr>
        <w:spacing w:after="0"/>
        <w:rPr>
          <w:rFonts w:ascii="Verdana" w:hAnsi="Verdana"/>
          <w:b/>
          <w:sz w:val="20"/>
          <w:szCs w:val="20"/>
        </w:rPr>
      </w:pPr>
      <w:r>
        <w:rPr>
          <w:rFonts w:ascii="Verdana" w:hAnsi="Verdana"/>
          <w:b/>
          <w:sz w:val="20"/>
          <w:szCs w:val="20"/>
        </w:rPr>
        <w:t>(Appendix A</w:t>
      </w:r>
      <w:r w:rsidR="00302DFD">
        <w:rPr>
          <w:rFonts w:ascii="Verdana" w:hAnsi="Verdana"/>
          <w:b/>
          <w:sz w:val="20"/>
          <w:szCs w:val="20"/>
        </w:rPr>
        <w:t>4</w:t>
      </w:r>
      <w:r w:rsidRPr="001D2D46">
        <w:rPr>
          <w:rFonts w:ascii="Verdana" w:hAnsi="Verdana"/>
          <w:b/>
          <w:sz w:val="20"/>
          <w:szCs w:val="20"/>
        </w:rPr>
        <w:t xml:space="preserve">) </w:t>
      </w:r>
    </w:p>
    <w:p w:rsidR="00154B45" w:rsidRDefault="00302DFD" w:rsidP="00124357">
      <w:pPr>
        <w:spacing w:after="0"/>
        <w:rPr>
          <w:rFonts w:ascii="Verdana" w:hAnsi="Verdana"/>
          <w:sz w:val="20"/>
          <w:szCs w:val="20"/>
        </w:rPr>
      </w:pPr>
    </w:p>
    <w:p w:rsidR="00124357" w:rsidRDefault="00103315" w:rsidP="00124357">
      <w:pPr>
        <w:spacing w:after="0"/>
        <w:rPr>
          <w:rFonts w:ascii="Verdana" w:hAnsi="Verdana"/>
          <w:sz w:val="20"/>
          <w:szCs w:val="20"/>
        </w:rPr>
      </w:pPr>
      <w:r>
        <w:rPr>
          <w:rFonts w:ascii="Verdana" w:hAnsi="Verdana"/>
          <w:sz w:val="20"/>
          <w:szCs w:val="20"/>
        </w:rPr>
        <w:t>As reported to the Committee at its June 2017 meeting,</w:t>
      </w:r>
      <w:r w:rsidRPr="00124357">
        <w:rPr>
          <w:rFonts w:ascii="Verdana" w:hAnsi="Verdana"/>
          <w:sz w:val="20"/>
          <w:szCs w:val="20"/>
        </w:rPr>
        <w:t xml:space="preserve"> </w:t>
      </w:r>
      <w:r w:rsidRPr="00B17B1F">
        <w:rPr>
          <w:rFonts w:ascii="Verdana" w:hAnsi="Verdana"/>
          <w:sz w:val="20"/>
          <w:szCs w:val="20"/>
        </w:rPr>
        <w:t xml:space="preserve">the Fund formally reported </w:t>
      </w:r>
      <w:r>
        <w:rPr>
          <w:rFonts w:ascii="Verdana" w:hAnsi="Verdana"/>
          <w:sz w:val="20"/>
          <w:szCs w:val="20"/>
        </w:rPr>
        <w:t xml:space="preserve">to </w:t>
      </w:r>
      <w:r w:rsidRPr="00B17B1F">
        <w:rPr>
          <w:rFonts w:ascii="Verdana" w:hAnsi="Verdana"/>
          <w:sz w:val="20"/>
          <w:szCs w:val="20"/>
        </w:rPr>
        <w:t>the Principles of Responsible Investment (PRI) for the first time</w:t>
      </w:r>
      <w:r>
        <w:rPr>
          <w:rFonts w:ascii="Verdana" w:hAnsi="Verdana"/>
          <w:sz w:val="20"/>
          <w:szCs w:val="20"/>
        </w:rPr>
        <w:t xml:space="preserve"> in 2017 after </w:t>
      </w:r>
      <w:r>
        <w:rPr>
          <w:rFonts w:ascii="Verdana" w:hAnsi="Verdana" w:cs="Arial"/>
          <w:color w:val="000000"/>
          <w:sz w:val="20"/>
          <w:szCs w:val="20"/>
        </w:rPr>
        <w:t xml:space="preserve">becoming a PRI signatory in March 2015. </w:t>
      </w:r>
    </w:p>
    <w:p w:rsidR="00A255B5" w:rsidRDefault="00302DFD" w:rsidP="00A255B5">
      <w:pPr>
        <w:spacing w:after="0"/>
        <w:rPr>
          <w:rFonts w:ascii="Verdana" w:hAnsi="Verdana" w:cs="Arial"/>
          <w:color w:val="000000"/>
          <w:sz w:val="20"/>
          <w:szCs w:val="20"/>
        </w:rPr>
      </w:pPr>
    </w:p>
    <w:p w:rsidR="001D2D46" w:rsidRPr="00AB13BD" w:rsidRDefault="00103315" w:rsidP="00124357">
      <w:pPr>
        <w:spacing w:after="0"/>
        <w:rPr>
          <w:rFonts w:ascii="Verdana" w:hAnsi="Verdana" w:cs="Arial"/>
          <w:color w:val="000000"/>
          <w:sz w:val="20"/>
          <w:szCs w:val="20"/>
        </w:rPr>
      </w:pPr>
      <w:r>
        <w:rPr>
          <w:rFonts w:ascii="Verdana" w:hAnsi="Verdana" w:cs="Arial"/>
          <w:color w:val="000000"/>
          <w:sz w:val="20"/>
          <w:szCs w:val="20"/>
        </w:rPr>
        <w:t>T</w:t>
      </w:r>
      <w:r w:rsidRPr="00B17B1F">
        <w:rPr>
          <w:rFonts w:ascii="Verdana" w:hAnsi="Verdana" w:cs="Arial"/>
          <w:color w:val="000000"/>
          <w:sz w:val="20"/>
          <w:szCs w:val="20"/>
        </w:rPr>
        <w:t xml:space="preserve">he annual reporting </w:t>
      </w:r>
      <w:r w:rsidRPr="00EB0DDE">
        <w:rPr>
          <w:rFonts w:ascii="Verdana" w:hAnsi="Verdana" w:cs="Arial"/>
          <w:color w:val="000000"/>
          <w:sz w:val="20"/>
          <w:szCs w:val="20"/>
        </w:rPr>
        <w:t xml:space="preserve">deadline </w:t>
      </w:r>
      <w:r>
        <w:rPr>
          <w:rFonts w:ascii="Verdana" w:hAnsi="Verdana" w:cs="Arial"/>
          <w:color w:val="000000"/>
          <w:sz w:val="20"/>
          <w:szCs w:val="20"/>
        </w:rPr>
        <w:t>is 31 March and r</w:t>
      </w:r>
      <w:r w:rsidRPr="00EB0DDE">
        <w:rPr>
          <w:rFonts w:ascii="Verdana" w:hAnsi="Verdana" w:cs="Arial"/>
          <w:color w:val="000000"/>
          <w:sz w:val="20"/>
          <w:szCs w:val="20"/>
        </w:rPr>
        <w:t xml:space="preserve">eporting is </w:t>
      </w:r>
      <w:r>
        <w:rPr>
          <w:rFonts w:ascii="Verdana" w:hAnsi="Verdana" w:cs="Arial"/>
          <w:color w:val="000000"/>
          <w:sz w:val="20"/>
          <w:szCs w:val="20"/>
        </w:rPr>
        <w:t xml:space="preserve">completed </w:t>
      </w:r>
      <w:r w:rsidRPr="00EB0DDE">
        <w:rPr>
          <w:rFonts w:ascii="Verdana" w:hAnsi="Verdana" w:cs="Arial"/>
          <w:color w:val="000000"/>
          <w:sz w:val="20"/>
          <w:szCs w:val="20"/>
        </w:rPr>
        <w:t xml:space="preserve">entirely online. </w:t>
      </w:r>
      <w:r>
        <w:rPr>
          <w:rFonts w:ascii="Verdana" w:hAnsi="Verdana" w:cs="Arial"/>
          <w:color w:val="000000"/>
          <w:sz w:val="20"/>
          <w:szCs w:val="20"/>
        </w:rPr>
        <w:t>A</w:t>
      </w:r>
      <w:r w:rsidRPr="00EB0DDE">
        <w:rPr>
          <w:rFonts w:ascii="Verdana" w:hAnsi="Verdana" w:cs="Arial"/>
          <w:color w:val="000000"/>
          <w:sz w:val="20"/>
          <w:szCs w:val="20"/>
        </w:rPr>
        <w:t xml:space="preserve"> detailed array of indicators </w:t>
      </w:r>
      <w:r>
        <w:rPr>
          <w:rFonts w:ascii="Verdana" w:hAnsi="Verdana" w:cs="Arial"/>
          <w:color w:val="000000"/>
          <w:sz w:val="20"/>
          <w:szCs w:val="20"/>
        </w:rPr>
        <w:t xml:space="preserve">require a response, </w:t>
      </w:r>
      <w:r w:rsidRPr="00EB0DDE">
        <w:rPr>
          <w:rFonts w:ascii="Verdana" w:hAnsi="Verdana" w:cs="Arial"/>
          <w:color w:val="000000"/>
          <w:sz w:val="20"/>
          <w:szCs w:val="20"/>
        </w:rPr>
        <w:t xml:space="preserve">designed to capture the </w:t>
      </w:r>
      <w:r>
        <w:rPr>
          <w:rFonts w:ascii="Verdana" w:hAnsi="Verdana" w:cs="Arial"/>
          <w:color w:val="000000"/>
          <w:sz w:val="20"/>
          <w:szCs w:val="20"/>
        </w:rPr>
        <w:t>signatory</w:t>
      </w:r>
      <w:r w:rsidRPr="00EB0DDE">
        <w:rPr>
          <w:rFonts w:ascii="Verdana" w:hAnsi="Verdana" w:cs="Arial"/>
          <w:color w:val="000000"/>
          <w:sz w:val="20"/>
          <w:szCs w:val="20"/>
        </w:rPr>
        <w:t>'s overall approach and specific efforts</w:t>
      </w:r>
      <w:r>
        <w:rPr>
          <w:rFonts w:ascii="Verdana" w:hAnsi="Verdana" w:cs="Arial"/>
          <w:color w:val="000000"/>
          <w:sz w:val="20"/>
          <w:szCs w:val="20"/>
        </w:rPr>
        <w:t xml:space="preserve">/ </w:t>
      </w:r>
      <w:r w:rsidRPr="00EB0DDE">
        <w:rPr>
          <w:rFonts w:ascii="Verdana" w:hAnsi="Verdana" w:cs="Arial"/>
          <w:color w:val="000000"/>
          <w:sz w:val="20"/>
          <w:szCs w:val="20"/>
        </w:rPr>
        <w:t>activities undertaken</w:t>
      </w:r>
      <w:r>
        <w:rPr>
          <w:rFonts w:ascii="Verdana" w:hAnsi="Verdana" w:cs="Arial"/>
          <w:color w:val="000000"/>
          <w:sz w:val="20"/>
          <w:szCs w:val="20"/>
        </w:rPr>
        <w:t xml:space="preserve"> in</w:t>
      </w:r>
      <w:r w:rsidRPr="00EB0DDE">
        <w:rPr>
          <w:rFonts w:ascii="Verdana" w:hAnsi="Verdana" w:cs="Arial"/>
          <w:color w:val="000000"/>
          <w:sz w:val="20"/>
          <w:szCs w:val="20"/>
        </w:rPr>
        <w:t xml:space="preserve"> the previous 12 months. </w:t>
      </w:r>
      <w:r>
        <w:rPr>
          <w:rFonts w:ascii="Verdana" w:hAnsi="Verdana" w:cs="Arial"/>
          <w:color w:val="000000"/>
          <w:sz w:val="20"/>
          <w:szCs w:val="20"/>
        </w:rPr>
        <w:t xml:space="preserve">The outcome of the annual reporting process is a Transparency Report for each signatory which in Lancashire's case is </w:t>
      </w:r>
      <w:r w:rsidRPr="00946C4F">
        <w:rPr>
          <w:rFonts w:ascii="Verdana" w:hAnsi="Verdana" w:cs="Arial"/>
          <w:sz w:val="20"/>
          <w:szCs w:val="20"/>
        </w:rPr>
        <w:t>a composite of responses to more than 60 individual indicators</w:t>
      </w:r>
      <w:r>
        <w:rPr>
          <w:rFonts w:ascii="Verdana" w:hAnsi="Verdana" w:cs="Arial"/>
          <w:sz w:val="20"/>
          <w:szCs w:val="20"/>
        </w:rPr>
        <w:t xml:space="preserve">. The report is </w:t>
      </w:r>
      <w:r>
        <w:rPr>
          <w:rFonts w:ascii="Verdana" w:hAnsi="Verdana" w:cs="Arial"/>
          <w:color w:val="000000"/>
          <w:sz w:val="20"/>
          <w:szCs w:val="20"/>
        </w:rPr>
        <w:t>made publicly available via the signatory directory on the PRI website</w:t>
      </w:r>
      <w:r w:rsidRPr="00AB13BD">
        <w:rPr>
          <w:rFonts w:ascii="Verdana" w:hAnsi="Verdana" w:cs="Arial"/>
          <w:color w:val="000000"/>
          <w:sz w:val="20"/>
          <w:szCs w:val="20"/>
        </w:rPr>
        <w:t xml:space="preserve">. </w:t>
      </w:r>
      <w:hyperlink r:id="rId15" w:history="1">
        <w:r w:rsidRPr="00AB13BD">
          <w:rPr>
            <w:rFonts w:ascii="Verdana" w:hAnsi="Verdana" w:cs="Arial"/>
            <w:color w:val="000000"/>
            <w:sz w:val="20"/>
            <w:szCs w:val="20"/>
          </w:rPr>
          <w:t>https://www.unpri.org/signatory-directory/</w:t>
        </w:r>
      </w:hyperlink>
    </w:p>
    <w:p w:rsidR="001D2D46" w:rsidRDefault="00302DFD" w:rsidP="00124357">
      <w:pPr>
        <w:spacing w:after="0"/>
      </w:pPr>
    </w:p>
    <w:p w:rsidR="00AB13BD" w:rsidRDefault="00103315" w:rsidP="00124357">
      <w:pPr>
        <w:spacing w:after="0"/>
        <w:rPr>
          <w:rFonts w:ascii="Verdana" w:hAnsi="Verdana" w:cs="Arial"/>
          <w:color w:val="000000"/>
          <w:sz w:val="20"/>
          <w:szCs w:val="20"/>
        </w:rPr>
      </w:pPr>
      <w:r>
        <w:rPr>
          <w:rFonts w:ascii="Verdana" w:hAnsi="Verdana"/>
          <w:sz w:val="20"/>
          <w:szCs w:val="20"/>
        </w:rPr>
        <w:t xml:space="preserve">In addition, </w:t>
      </w:r>
      <w:r>
        <w:rPr>
          <w:rFonts w:ascii="Verdana" w:hAnsi="Verdana" w:cs="Arial"/>
          <w:color w:val="000000"/>
          <w:sz w:val="20"/>
          <w:szCs w:val="20"/>
        </w:rPr>
        <w:t>e</w:t>
      </w:r>
      <w:r w:rsidRPr="001D2D46">
        <w:rPr>
          <w:rFonts w:ascii="Verdana" w:hAnsi="Verdana" w:cs="Arial"/>
          <w:color w:val="000000"/>
          <w:sz w:val="20"/>
          <w:szCs w:val="20"/>
        </w:rPr>
        <w:t>ach</w:t>
      </w:r>
      <w:r>
        <w:rPr>
          <w:rFonts w:ascii="Verdana" w:hAnsi="Verdana" w:cs="Arial"/>
          <w:color w:val="000000"/>
          <w:sz w:val="20"/>
          <w:szCs w:val="20"/>
        </w:rPr>
        <w:t xml:space="preserve"> signatory receives </w:t>
      </w:r>
      <w:r w:rsidRPr="00EB0DDE">
        <w:rPr>
          <w:rFonts w:ascii="Verdana" w:hAnsi="Verdana" w:cs="Arial"/>
          <w:color w:val="000000"/>
          <w:sz w:val="20"/>
          <w:szCs w:val="20"/>
        </w:rPr>
        <w:t xml:space="preserve">a confidential Assessment Report which confirms the PRI's </w:t>
      </w:r>
      <w:r>
        <w:rPr>
          <w:rFonts w:ascii="Verdana" w:hAnsi="Verdana" w:cs="Arial"/>
          <w:color w:val="000000"/>
          <w:sz w:val="20"/>
          <w:szCs w:val="20"/>
        </w:rPr>
        <w:t xml:space="preserve">evaluation </w:t>
      </w:r>
      <w:r w:rsidRPr="00EB0DDE">
        <w:rPr>
          <w:rFonts w:ascii="Verdana" w:hAnsi="Verdana" w:cs="Arial"/>
          <w:color w:val="000000"/>
          <w:sz w:val="20"/>
          <w:szCs w:val="20"/>
        </w:rPr>
        <w:t xml:space="preserve">of their </w:t>
      </w:r>
      <w:r>
        <w:rPr>
          <w:rFonts w:ascii="Verdana" w:hAnsi="Verdana" w:cs="Arial"/>
          <w:color w:val="000000"/>
          <w:sz w:val="20"/>
          <w:szCs w:val="20"/>
        </w:rPr>
        <w:t>reporting</w:t>
      </w:r>
      <w:r w:rsidRPr="00EB0DDE">
        <w:rPr>
          <w:rFonts w:ascii="Verdana" w:hAnsi="Verdana" w:cs="Arial"/>
          <w:color w:val="000000"/>
          <w:sz w:val="20"/>
          <w:szCs w:val="20"/>
        </w:rPr>
        <w:t xml:space="preserve"> against an underlying assessment methodology and the</w:t>
      </w:r>
      <w:r>
        <w:rPr>
          <w:rFonts w:ascii="Verdana" w:hAnsi="Verdana" w:cs="Arial"/>
          <w:color w:val="000000"/>
          <w:sz w:val="20"/>
          <w:szCs w:val="20"/>
        </w:rPr>
        <w:t>ir</w:t>
      </w:r>
      <w:r w:rsidRPr="00EB0DDE">
        <w:rPr>
          <w:rFonts w:ascii="Verdana" w:hAnsi="Verdana" w:cs="Arial"/>
          <w:color w:val="000000"/>
          <w:sz w:val="20"/>
          <w:szCs w:val="20"/>
        </w:rPr>
        <w:t xml:space="preserve"> positio</w:t>
      </w:r>
      <w:r>
        <w:rPr>
          <w:rFonts w:ascii="Verdana" w:hAnsi="Verdana" w:cs="Arial"/>
          <w:color w:val="000000"/>
          <w:sz w:val="20"/>
          <w:szCs w:val="20"/>
        </w:rPr>
        <w:t xml:space="preserve">n relative to a peer group. Assessment Reports are not made public by PRI but signatories can opt to publish them (subject to a caution from PRI about misrepresentation as a result of using edited highlights). Assessment Reports aim to provide signatories with the challenge of an external review process which includes objective </w:t>
      </w:r>
      <w:r w:rsidRPr="00EB0DDE">
        <w:rPr>
          <w:rFonts w:ascii="Verdana" w:hAnsi="Verdana" w:cs="Arial"/>
          <w:color w:val="000000"/>
          <w:sz w:val="20"/>
          <w:szCs w:val="20"/>
        </w:rPr>
        <w:t xml:space="preserve">scoring </w:t>
      </w:r>
      <w:r>
        <w:rPr>
          <w:rFonts w:ascii="Verdana" w:hAnsi="Verdana" w:cs="Arial"/>
          <w:color w:val="000000"/>
          <w:sz w:val="20"/>
          <w:szCs w:val="20"/>
        </w:rPr>
        <w:t xml:space="preserve">which helps to identify areas for future focus and improvement.  </w:t>
      </w:r>
    </w:p>
    <w:p w:rsidR="00AB13BD" w:rsidRDefault="00302DFD" w:rsidP="00124357">
      <w:pPr>
        <w:spacing w:after="0"/>
        <w:rPr>
          <w:rFonts w:ascii="Verdana" w:hAnsi="Verdana" w:cs="Arial"/>
          <w:color w:val="000000"/>
          <w:sz w:val="20"/>
          <w:szCs w:val="20"/>
        </w:rPr>
      </w:pPr>
    </w:p>
    <w:p w:rsidR="00B87E4E" w:rsidRDefault="00103315" w:rsidP="00D10ABE">
      <w:pPr>
        <w:spacing w:after="0"/>
        <w:rPr>
          <w:rFonts w:ascii="Verdana" w:hAnsi="Verdana" w:cs="Arial"/>
          <w:color w:val="000000"/>
          <w:sz w:val="20"/>
          <w:szCs w:val="20"/>
        </w:rPr>
      </w:pPr>
      <w:r>
        <w:rPr>
          <w:rFonts w:ascii="Verdana" w:hAnsi="Verdana" w:cs="Arial"/>
          <w:color w:val="000000"/>
          <w:sz w:val="20"/>
          <w:szCs w:val="20"/>
        </w:rPr>
        <w:t xml:space="preserve">The 2017 Assessment Report for LCPF is attached at </w:t>
      </w:r>
      <w:r w:rsidRPr="00103315">
        <w:rPr>
          <w:rFonts w:ascii="Verdana" w:hAnsi="Verdana" w:cs="Arial"/>
          <w:b/>
          <w:color w:val="000000"/>
          <w:sz w:val="20"/>
          <w:szCs w:val="20"/>
        </w:rPr>
        <w:t>Appendix A</w:t>
      </w:r>
      <w:r w:rsidR="00302DFD">
        <w:rPr>
          <w:rFonts w:ascii="Verdana" w:hAnsi="Verdana" w:cs="Arial"/>
          <w:b/>
          <w:color w:val="000000"/>
          <w:sz w:val="20"/>
          <w:szCs w:val="20"/>
        </w:rPr>
        <w:t>4</w:t>
      </w:r>
      <w:bookmarkStart w:id="0" w:name="_GoBack"/>
      <w:bookmarkEnd w:id="0"/>
      <w:r>
        <w:rPr>
          <w:rFonts w:ascii="Verdana" w:hAnsi="Verdana" w:cs="Arial"/>
          <w:color w:val="000000"/>
          <w:sz w:val="20"/>
          <w:szCs w:val="20"/>
        </w:rPr>
        <w:t>. The scoring approach accommodates a mark from A to E against 8 possible segments. LCPF was not required to report against 3 of the segments in 2017 and scoring is therefore across 5 segments in total. The summary Scorecard (p5) shows good scores were received across the board, only one score being below the segment median for the peer group.</w:t>
      </w:r>
    </w:p>
    <w:p w:rsidR="00B87E4E" w:rsidRDefault="00302DFD" w:rsidP="00D10ABE">
      <w:pPr>
        <w:spacing w:after="0"/>
        <w:rPr>
          <w:rFonts w:ascii="Verdana" w:hAnsi="Verdana" w:cs="Arial"/>
          <w:color w:val="000000"/>
          <w:sz w:val="20"/>
          <w:szCs w:val="20"/>
        </w:rPr>
      </w:pPr>
    </w:p>
    <w:p w:rsidR="00DA5ED9" w:rsidRDefault="00103315" w:rsidP="00D10ABE">
      <w:pPr>
        <w:spacing w:after="0"/>
        <w:rPr>
          <w:rFonts w:ascii="Verdana" w:hAnsi="Verdana" w:cs="Arial"/>
          <w:color w:val="000000"/>
          <w:sz w:val="20"/>
          <w:szCs w:val="20"/>
        </w:rPr>
      </w:pPr>
      <w:r>
        <w:rPr>
          <w:rFonts w:ascii="Verdana" w:hAnsi="Verdana" w:cs="Arial"/>
          <w:color w:val="000000"/>
          <w:sz w:val="20"/>
          <w:szCs w:val="20"/>
        </w:rPr>
        <w:t xml:space="preserve">The Fund received its lowest rating (C) for Direct, Listed Equity Active Ownership. This segment covers responses to questions on engagement and proxy voting which was the most challenging section of the annual reporting framework to complete for a number of reasons. </w:t>
      </w:r>
    </w:p>
    <w:p w:rsidR="00FF2891" w:rsidRDefault="00302DFD" w:rsidP="00D10ABE">
      <w:pPr>
        <w:spacing w:after="0"/>
        <w:rPr>
          <w:rFonts w:ascii="Verdana" w:hAnsi="Verdana" w:cs="Arial"/>
          <w:color w:val="000000"/>
          <w:sz w:val="20"/>
          <w:szCs w:val="20"/>
        </w:rPr>
      </w:pPr>
    </w:p>
    <w:p w:rsidR="00DA5ED9" w:rsidRDefault="00103315" w:rsidP="00D10ABE">
      <w:pPr>
        <w:spacing w:after="0"/>
        <w:rPr>
          <w:rFonts w:ascii="Verdana" w:hAnsi="Verdana" w:cs="Arial"/>
          <w:color w:val="000000"/>
          <w:sz w:val="20"/>
          <w:szCs w:val="20"/>
        </w:rPr>
      </w:pPr>
      <w:r>
        <w:rPr>
          <w:rFonts w:ascii="Verdana" w:hAnsi="Verdana" w:cs="Arial"/>
          <w:color w:val="000000"/>
          <w:sz w:val="20"/>
          <w:szCs w:val="20"/>
        </w:rPr>
        <w:lastRenderedPageBreak/>
        <w:t xml:space="preserve">First, reporting is from the perspective of LCPF as an asset owner PRI signatory and not merely reviewing what service providers such as LPP I and LAPFF do on the Fund's behalf. Questions probe the role, standards, arrangements and participation the Fund has in engagements and stewardship. </w:t>
      </w:r>
    </w:p>
    <w:p w:rsidR="00DA5ED9" w:rsidRDefault="00302DFD" w:rsidP="00D10ABE">
      <w:pPr>
        <w:spacing w:after="0"/>
        <w:rPr>
          <w:rFonts w:ascii="Verdana" w:hAnsi="Verdana" w:cs="Arial"/>
          <w:color w:val="000000"/>
          <w:sz w:val="20"/>
          <w:szCs w:val="20"/>
        </w:rPr>
      </w:pPr>
    </w:p>
    <w:p w:rsidR="00276F28" w:rsidRDefault="00103315" w:rsidP="00D10ABE">
      <w:pPr>
        <w:spacing w:after="0"/>
        <w:rPr>
          <w:rFonts w:ascii="Verdana" w:hAnsi="Verdana" w:cs="Arial"/>
          <w:color w:val="000000"/>
          <w:sz w:val="20"/>
          <w:szCs w:val="20"/>
        </w:rPr>
      </w:pPr>
      <w:r>
        <w:rPr>
          <w:rFonts w:ascii="Verdana" w:hAnsi="Verdana" w:cs="Arial"/>
          <w:color w:val="000000"/>
          <w:sz w:val="20"/>
          <w:szCs w:val="20"/>
        </w:rPr>
        <w:t>Second, a number of voluntary indicators form part of the maximum scoring available for this segment and where these are not completed (as in 2017) this immediately reduces the score achievable.</w:t>
      </w:r>
    </w:p>
    <w:p w:rsidR="00276F28" w:rsidRDefault="00302DFD" w:rsidP="00D10ABE">
      <w:pPr>
        <w:spacing w:after="0"/>
        <w:rPr>
          <w:rFonts w:ascii="Verdana" w:hAnsi="Verdana" w:cs="Arial"/>
          <w:color w:val="000000"/>
          <w:sz w:val="20"/>
          <w:szCs w:val="20"/>
        </w:rPr>
      </w:pPr>
    </w:p>
    <w:p w:rsidR="00DA5ED9" w:rsidRDefault="00103315" w:rsidP="00D10ABE">
      <w:pPr>
        <w:spacing w:after="0"/>
        <w:rPr>
          <w:rFonts w:ascii="Verdana" w:hAnsi="Verdana" w:cs="Arial"/>
          <w:color w:val="000000"/>
          <w:sz w:val="20"/>
          <w:szCs w:val="20"/>
        </w:rPr>
      </w:pPr>
      <w:r>
        <w:rPr>
          <w:rFonts w:ascii="Verdana" w:hAnsi="Verdana" w:cs="Arial"/>
          <w:color w:val="000000"/>
          <w:sz w:val="20"/>
          <w:szCs w:val="20"/>
        </w:rPr>
        <w:t>Third, the timing of the reporting process was material, responses were being produced in March 2017 looking back over the prior 12 months. This was a formative time for the partnership and prior to new arrangements being put in place.</w:t>
      </w:r>
    </w:p>
    <w:p w:rsidR="00DA5ED9" w:rsidRDefault="00302DFD" w:rsidP="00D10ABE">
      <w:pPr>
        <w:spacing w:after="0"/>
        <w:rPr>
          <w:rFonts w:ascii="Verdana" w:hAnsi="Verdana" w:cs="Arial"/>
          <w:color w:val="000000"/>
          <w:sz w:val="20"/>
          <w:szCs w:val="20"/>
        </w:rPr>
      </w:pPr>
    </w:p>
    <w:p w:rsidR="00D10ABE" w:rsidRDefault="00103315" w:rsidP="00D10ABE">
      <w:pPr>
        <w:spacing w:after="0"/>
        <w:rPr>
          <w:rFonts w:ascii="Verdana" w:hAnsi="Verdana" w:cs="Arial"/>
          <w:color w:val="000000"/>
          <w:sz w:val="20"/>
          <w:szCs w:val="20"/>
        </w:rPr>
      </w:pPr>
      <w:r>
        <w:rPr>
          <w:rFonts w:ascii="Verdana" w:hAnsi="Verdana" w:cs="Arial"/>
          <w:color w:val="000000"/>
          <w:sz w:val="20"/>
          <w:szCs w:val="20"/>
        </w:rPr>
        <w:t>In terms of action points, the observations made to the Committee back in June remain pertinent.</w:t>
      </w:r>
    </w:p>
    <w:p w:rsidR="008B6CE3" w:rsidRDefault="00302DFD" w:rsidP="00D10ABE">
      <w:pPr>
        <w:spacing w:after="0"/>
        <w:rPr>
          <w:rFonts w:ascii="Verdana" w:hAnsi="Verdana" w:cs="Arial"/>
          <w:color w:val="000000"/>
          <w:sz w:val="20"/>
          <w:szCs w:val="20"/>
        </w:rPr>
      </w:pPr>
    </w:p>
    <w:p w:rsidR="008B6CE3" w:rsidRPr="008B6CE3" w:rsidRDefault="00103315" w:rsidP="008B6CE3">
      <w:pPr>
        <w:spacing w:after="0"/>
        <w:ind w:left="567" w:right="662"/>
        <w:rPr>
          <w:rFonts w:ascii="Verdana" w:hAnsi="Verdana" w:cs="Arial"/>
          <w:i/>
          <w:sz w:val="20"/>
          <w:szCs w:val="20"/>
        </w:rPr>
      </w:pPr>
      <w:r w:rsidRPr="008B6CE3">
        <w:rPr>
          <w:rFonts w:ascii="Verdana" w:hAnsi="Verdana" w:cs="Arial"/>
          <w:i/>
          <w:sz w:val="20"/>
          <w:szCs w:val="20"/>
        </w:rPr>
        <w:t>Some specific learning points have arisen from the experience of working through the detailed reporting framework. One of the greatest difficulties was in clearly defining a demarcation between LCPF as an asset owner signatory and LPP as a provider who fits the PRI's definition of a fiduciary manager. It is LCPF rather than LPP which is the PRI signatory, but there are currently limited places in which the Fund formally sets out RI requirements and how they inform what is required of LPP in terms of stewardship activity and monitoring against this. For example the Fund's Statement of Investment Principles (SIP) which contained a level of detail on the Fund's preferred approach to RI was superseded by an Investment Strategy Statement in October 2016 which lacked this detail. Similarly, the timing of the redrafting of the Fund's statement of compliance with the UK Stewardship Code meant it could not be referred to in detail within the 2017 return.</w:t>
      </w:r>
    </w:p>
    <w:p w:rsidR="008B6CE3" w:rsidRPr="00376A65" w:rsidRDefault="00302DFD" w:rsidP="00D10ABE">
      <w:pPr>
        <w:spacing w:after="0"/>
        <w:rPr>
          <w:rFonts w:ascii="Verdana" w:hAnsi="Verdana" w:cs="Arial"/>
          <w:color w:val="183850" w:themeColor="text1"/>
          <w:sz w:val="20"/>
          <w:szCs w:val="20"/>
        </w:rPr>
      </w:pPr>
    </w:p>
    <w:p w:rsidR="00B96CB9" w:rsidRPr="00376A65" w:rsidRDefault="00103315" w:rsidP="00124357">
      <w:pPr>
        <w:spacing w:after="0"/>
        <w:rPr>
          <w:rFonts w:ascii="Verdana" w:hAnsi="Verdana" w:cs="Arial"/>
          <w:color w:val="000000"/>
          <w:sz w:val="20"/>
          <w:szCs w:val="20"/>
        </w:rPr>
      </w:pPr>
      <w:r w:rsidRPr="00376A65">
        <w:rPr>
          <w:rFonts w:ascii="Verdana" w:hAnsi="Verdana" w:cs="Arial"/>
          <w:color w:val="000000"/>
          <w:sz w:val="20"/>
          <w:szCs w:val="20"/>
        </w:rPr>
        <w:t>Some of th</w:t>
      </w:r>
      <w:r>
        <w:rPr>
          <w:rFonts w:ascii="Verdana" w:hAnsi="Verdana" w:cs="Arial"/>
          <w:color w:val="000000"/>
          <w:sz w:val="20"/>
          <w:szCs w:val="20"/>
        </w:rPr>
        <w:t>ese points are being addressed currently as part of the deliberations the Committee's RI Working Group.</w:t>
      </w:r>
    </w:p>
    <w:sectPr w:rsidR="00B96CB9" w:rsidRPr="00376A65" w:rsidSect="00B67A56">
      <w:footerReference w:type="default" r:id="rId16"/>
      <w:headerReference w:type="first" r:id="rId17"/>
      <w:pgSz w:w="11906" w:h="16838"/>
      <w:pgMar w:top="1135"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4E" w:rsidRDefault="00103315">
      <w:pPr>
        <w:spacing w:after="0" w:line="240" w:lineRule="auto"/>
      </w:pPr>
      <w:r>
        <w:separator/>
      </w:r>
    </w:p>
  </w:endnote>
  <w:endnote w:type="continuationSeparator" w:id="0">
    <w:p w:rsidR="00B3334E" w:rsidRDefault="0010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97o00">
    <w:panose1 w:val="00000000000000000000"/>
    <w:charset w:val="00"/>
    <w:family w:val="auto"/>
    <w:notTrueType/>
    <w:pitch w:val="default"/>
    <w:sig w:usb0="00000003" w:usb1="00000000" w:usb2="00000000" w:usb3="00000000" w:csb0="00000001" w:csb1="00000000"/>
  </w:font>
  <w:font w:name="TT3BA2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D" w:rsidRDefault="00302DFD">
    <w:pPr>
      <w:pStyle w:val="Footer"/>
    </w:pPr>
  </w:p>
  <w:p w:rsidR="00AB13BD" w:rsidRDefault="0030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4E" w:rsidRDefault="00103315">
      <w:pPr>
        <w:spacing w:after="0" w:line="240" w:lineRule="auto"/>
      </w:pPr>
      <w:r>
        <w:separator/>
      </w:r>
    </w:p>
  </w:footnote>
  <w:footnote w:type="continuationSeparator" w:id="0">
    <w:p w:rsidR="00B3334E" w:rsidRDefault="00103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D" w:rsidRDefault="00103315">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6" name="Picture 6"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3BD" w:rsidRDefault="00302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22A5"/>
    <w:multiLevelType w:val="hybridMultilevel"/>
    <w:tmpl w:val="3F180D5A"/>
    <w:lvl w:ilvl="0" w:tplc="8AE0489C">
      <w:start w:val="1"/>
      <w:numFmt w:val="bullet"/>
      <w:lvlText w:val=""/>
      <w:lvlJc w:val="left"/>
      <w:pPr>
        <w:ind w:left="720" w:hanging="360"/>
      </w:pPr>
      <w:rPr>
        <w:rFonts w:ascii="Symbol" w:hAnsi="Symbol" w:hint="default"/>
      </w:rPr>
    </w:lvl>
    <w:lvl w:ilvl="1" w:tplc="0FF0A758" w:tentative="1">
      <w:start w:val="1"/>
      <w:numFmt w:val="bullet"/>
      <w:lvlText w:val="o"/>
      <w:lvlJc w:val="left"/>
      <w:pPr>
        <w:ind w:left="1440" w:hanging="360"/>
      </w:pPr>
      <w:rPr>
        <w:rFonts w:ascii="Courier New" w:hAnsi="Courier New" w:cs="Courier New" w:hint="default"/>
      </w:rPr>
    </w:lvl>
    <w:lvl w:ilvl="2" w:tplc="815C2A3E" w:tentative="1">
      <w:start w:val="1"/>
      <w:numFmt w:val="bullet"/>
      <w:lvlText w:val=""/>
      <w:lvlJc w:val="left"/>
      <w:pPr>
        <w:ind w:left="2160" w:hanging="360"/>
      </w:pPr>
      <w:rPr>
        <w:rFonts w:ascii="Wingdings" w:hAnsi="Wingdings" w:hint="default"/>
      </w:rPr>
    </w:lvl>
    <w:lvl w:ilvl="3" w:tplc="D67A999E" w:tentative="1">
      <w:start w:val="1"/>
      <w:numFmt w:val="bullet"/>
      <w:lvlText w:val=""/>
      <w:lvlJc w:val="left"/>
      <w:pPr>
        <w:ind w:left="2880" w:hanging="360"/>
      </w:pPr>
      <w:rPr>
        <w:rFonts w:ascii="Symbol" w:hAnsi="Symbol" w:hint="default"/>
      </w:rPr>
    </w:lvl>
    <w:lvl w:ilvl="4" w:tplc="A962A044" w:tentative="1">
      <w:start w:val="1"/>
      <w:numFmt w:val="bullet"/>
      <w:lvlText w:val="o"/>
      <w:lvlJc w:val="left"/>
      <w:pPr>
        <w:ind w:left="3600" w:hanging="360"/>
      </w:pPr>
      <w:rPr>
        <w:rFonts w:ascii="Courier New" w:hAnsi="Courier New" w:cs="Courier New" w:hint="default"/>
      </w:rPr>
    </w:lvl>
    <w:lvl w:ilvl="5" w:tplc="B78AD56E" w:tentative="1">
      <w:start w:val="1"/>
      <w:numFmt w:val="bullet"/>
      <w:lvlText w:val=""/>
      <w:lvlJc w:val="left"/>
      <w:pPr>
        <w:ind w:left="4320" w:hanging="360"/>
      </w:pPr>
      <w:rPr>
        <w:rFonts w:ascii="Wingdings" w:hAnsi="Wingdings" w:hint="default"/>
      </w:rPr>
    </w:lvl>
    <w:lvl w:ilvl="6" w:tplc="81ECDD10" w:tentative="1">
      <w:start w:val="1"/>
      <w:numFmt w:val="bullet"/>
      <w:lvlText w:val=""/>
      <w:lvlJc w:val="left"/>
      <w:pPr>
        <w:ind w:left="5040" w:hanging="360"/>
      </w:pPr>
      <w:rPr>
        <w:rFonts w:ascii="Symbol" w:hAnsi="Symbol" w:hint="default"/>
      </w:rPr>
    </w:lvl>
    <w:lvl w:ilvl="7" w:tplc="4900F66A" w:tentative="1">
      <w:start w:val="1"/>
      <w:numFmt w:val="bullet"/>
      <w:lvlText w:val="o"/>
      <w:lvlJc w:val="left"/>
      <w:pPr>
        <w:ind w:left="5760" w:hanging="360"/>
      </w:pPr>
      <w:rPr>
        <w:rFonts w:ascii="Courier New" w:hAnsi="Courier New" w:cs="Courier New" w:hint="default"/>
      </w:rPr>
    </w:lvl>
    <w:lvl w:ilvl="8" w:tplc="DA8EF182" w:tentative="1">
      <w:start w:val="1"/>
      <w:numFmt w:val="bullet"/>
      <w:lvlText w:val=""/>
      <w:lvlJc w:val="left"/>
      <w:pPr>
        <w:ind w:left="6480" w:hanging="360"/>
      </w:pPr>
      <w:rPr>
        <w:rFonts w:ascii="Wingdings" w:hAnsi="Wingdings" w:hint="default"/>
      </w:rPr>
    </w:lvl>
  </w:abstractNum>
  <w:abstractNum w:abstractNumId="3" w15:restartNumberingAfterBreak="0">
    <w:nsid w:val="19C0026F"/>
    <w:multiLevelType w:val="hybridMultilevel"/>
    <w:tmpl w:val="FBE2CC28"/>
    <w:lvl w:ilvl="0" w:tplc="6E923590">
      <w:start w:val="1"/>
      <w:numFmt w:val="bullet"/>
      <w:lvlText w:val=""/>
      <w:lvlJc w:val="left"/>
      <w:pPr>
        <w:ind w:left="2160" w:hanging="360"/>
      </w:pPr>
      <w:rPr>
        <w:rFonts w:ascii="Symbol" w:hAnsi="Symbol" w:hint="default"/>
      </w:rPr>
    </w:lvl>
    <w:lvl w:ilvl="1" w:tplc="26A4A710">
      <w:start w:val="1"/>
      <w:numFmt w:val="bullet"/>
      <w:lvlText w:val=""/>
      <w:lvlJc w:val="left"/>
      <w:pPr>
        <w:ind w:left="2880" w:hanging="360"/>
      </w:pPr>
      <w:rPr>
        <w:rFonts w:ascii="Symbol" w:hAnsi="Symbol" w:hint="default"/>
      </w:rPr>
    </w:lvl>
    <w:lvl w:ilvl="2" w:tplc="AA7E312C" w:tentative="1">
      <w:start w:val="1"/>
      <w:numFmt w:val="bullet"/>
      <w:lvlText w:val=""/>
      <w:lvlJc w:val="left"/>
      <w:pPr>
        <w:ind w:left="3600" w:hanging="360"/>
      </w:pPr>
      <w:rPr>
        <w:rFonts w:ascii="Wingdings" w:hAnsi="Wingdings" w:hint="default"/>
      </w:rPr>
    </w:lvl>
    <w:lvl w:ilvl="3" w:tplc="E6DAECDA">
      <w:start w:val="1"/>
      <w:numFmt w:val="bullet"/>
      <w:lvlText w:val=""/>
      <w:lvlJc w:val="left"/>
      <w:pPr>
        <w:ind w:left="4320" w:hanging="360"/>
      </w:pPr>
      <w:rPr>
        <w:rFonts w:ascii="Symbol" w:hAnsi="Symbol" w:hint="default"/>
      </w:rPr>
    </w:lvl>
    <w:lvl w:ilvl="4" w:tplc="208ACC58" w:tentative="1">
      <w:start w:val="1"/>
      <w:numFmt w:val="bullet"/>
      <w:lvlText w:val="o"/>
      <w:lvlJc w:val="left"/>
      <w:pPr>
        <w:ind w:left="5040" w:hanging="360"/>
      </w:pPr>
      <w:rPr>
        <w:rFonts w:ascii="Courier New" w:hAnsi="Courier New" w:cs="Courier New" w:hint="default"/>
      </w:rPr>
    </w:lvl>
    <w:lvl w:ilvl="5" w:tplc="E1A04F26" w:tentative="1">
      <w:start w:val="1"/>
      <w:numFmt w:val="bullet"/>
      <w:lvlText w:val=""/>
      <w:lvlJc w:val="left"/>
      <w:pPr>
        <w:ind w:left="5760" w:hanging="360"/>
      </w:pPr>
      <w:rPr>
        <w:rFonts w:ascii="Wingdings" w:hAnsi="Wingdings" w:hint="default"/>
      </w:rPr>
    </w:lvl>
    <w:lvl w:ilvl="6" w:tplc="F21247C8" w:tentative="1">
      <w:start w:val="1"/>
      <w:numFmt w:val="bullet"/>
      <w:lvlText w:val=""/>
      <w:lvlJc w:val="left"/>
      <w:pPr>
        <w:ind w:left="6480" w:hanging="360"/>
      </w:pPr>
      <w:rPr>
        <w:rFonts w:ascii="Symbol" w:hAnsi="Symbol" w:hint="default"/>
      </w:rPr>
    </w:lvl>
    <w:lvl w:ilvl="7" w:tplc="4A260B98" w:tentative="1">
      <w:start w:val="1"/>
      <w:numFmt w:val="bullet"/>
      <w:lvlText w:val="o"/>
      <w:lvlJc w:val="left"/>
      <w:pPr>
        <w:ind w:left="7200" w:hanging="360"/>
      </w:pPr>
      <w:rPr>
        <w:rFonts w:ascii="Courier New" w:hAnsi="Courier New" w:cs="Courier New" w:hint="default"/>
      </w:rPr>
    </w:lvl>
    <w:lvl w:ilvl="8" w:tplc="07522392" w:tentative="1">
      <w:start w:val="1"/>
      <w:numFmt w:val="bullet"/>
      <w:lvlText w:val=""/>
      <w:lvlJc w:val="left"/>
      <w:pPr>
        <w:ind w:left="7920" w:hanging="360"/>
      </w:pPr>
      <w:rPr>
        <w:rFonts w:ascii="Wingdings" w:hAnsi="Wingdings" w:hint="default"/>
      </w:rPr>
    </w:lvl>
  </w:abstractNum>
  <w:abstractNum w:abstractNumId="4" w15:restartNumberingAfterBreak="0">
    <w:nsid w:val="1A444BBF"/>
    <w:multiLevelType w:val="hybridMultilevel"/>
    <w:tmpl w:val="6A84AB34"/>
    <w:lvl w:ilvl="0" w:tplc="4B28B5B8">
      <w:start w:val="1"/>
      <w:numFmt w:val="decimal"/>
      <w:pStyle w:val="treb"/>
      <w:lvlText w:val="%1."/>
      <w:lvlJc w:val="left"/>
      <w:pPr>
        <w:ind w:left="720" w:hanging="360"/>
      </w:pPr>
      <w:rPr>
        <w:rFonts w:hint="default"/>
      </w:rPr>
    </w:lvl>
    <w:lvl w:ilvl="1" w:tplc="DD82406C" w:tentative="1">
      <w:start w:val="1"/>
      <w:numFmt w:val="lowerLetter"/>
      <w:lvlText w:val="%2."/>
      <w:lvlJc w:val="left"/>
      <w:pPr>
        <w:ind w:left="1440" w:hanging="360"/>
      </w:pPr>
    </w:lvl>
    <w:lvl w:ilvl="2" w:tplc="BB961AF2" w:tentative="1">
      <w:start w:val="1"/>
      <w:numFmt w:val="lowerRoman"/>
      <w:lvlText w:val="%3."/>
      <w:lvlJc w:val="right"/>
      <w:pPr>
        <w:ind w:left="2160" w:hanging="180"/>
      </w:pPr>
    </w:lvl>
    <w:lvl w:ilvl="3" w:tplc="FB9C1DC4" w:tentative="1">
      <w:start w:val="1"/>
      <w:numFmt w:val="decimal"/>
      <w:lvlText w:val="%4."/>
      <w:lvlJc w:val="left"/>
      <w:pPr>
        <w:ind w:left="2880" w:hanging="360"/>
      </w:pPr>
    </w:lvl>
    <w:lvl w:ilvl="4" w:tplc="351256F0" w:tentative="1">
      <w:start w:val="1"/>
      <w:numFmt w:val="lowerLetter"/>
      <w:lvlText w:val="%5."/>
      <w:lvlJc w:val="left"/>
      <w:pPr>
        <w:ind w:left="3600" w:hanging="360"/>
      </w:pPr>
    </w:lvl>
    <w:lvl w:ilvl="5" w:tplc="94FAE264" w:tentative="1">
      <w:start w:val="1"/>
      <w:numFmt w:val="lowerRoman"/>
      <w:lvlText w:val="%6."/>
      <w:lvlJc w:val="right"/>
      <w:pPr>
        <w:ind w:left="4320" w:hanging="180"/>
      </w:pPr>
    </w:lvl>
    <w:lvl w:ilvl="6" w:tplc="B7C4940A" w:tentative="1">
      <w:start w:val="1"/>
      <w:numFmt w:val="decimal"/>
      <w:lvlText w:val="%7."/>
      <w:lvlJc w:val="left"/>
      <w:pPr>
        <w:ind w:left="5040" w:hanging="360"/>
      </w:pPr>
    </w:lvl>
    <w:lvl w:ilvl="7" w:tplc="D5CA40E6" w:tentative="1">
      <w:start w:val="1"/>
      <w:numFmt w:val="lowerLetter"/>
      <w:lvlText w:val="%8."/>
      <w:lvlJc w:val="left"/>
      <w:pPr>
        <w:ind w:left="5760" w:hanging="360"/>
      </w:pPr>
    </w:lvl>
    <w:lvl w:ilvl="8" w:tplc="4036CA2E" w:tentative="1">
      <w:start w:val="1"/>
      <w:numFmt w:val="lowerRoman"/>
      <w:lvlText w:val="%9."/>
      <w:lvlJc w:val="right"/>
      <w:pPr>
        <w:ind w:left="6480" w:hanging="180"/>
      </w:pPr>
    </w:lvl>
  </w:abstractNum>
  <w:abstractNum w:abstractNumId="5" w15:restartNumberingAfterBreak="0">
    <w:nsid w:val="1AB707C1"/>
    <w:multiLevelType w:val="hybridMultilevel"/>
    <w:tmpl w:val="1C9CDDDC"/>
    <w:lvl w:ilvl="0" w:tplc="91FC1DFA">
      <w:start w:val="1"/>
      <w:numFmt w:val="bullet"/>
      <w:lvlText w:val=""/>
      <w:lvlJc w:val="left"/>
      <w:pPr>
        <w:ind w:left="720" w:hanging="360"/>
      </w:pPr>
      <w:rPr>
        <w:rFonts w:ascii="Symbol" w:hAnsi="Symbol" w:hint="default"/>
      </w:rPr>
    </w:lvl>
    <w:lvl w:ilvl="1" w:tplc="44945F42">
      <w:start w:val="1"/>
      <w:numFmt w:val="bullet"/>
      <w:lvlText w:val="o"/>
      <w:lvlJc w:val="left"/>
      <w:pPr>
        <w:ind w:left="1440" w:hanging="360"/>
      </w:pPr>
      <w:rPr>
        <w:rFonts w:ascii="Courier New" w:hAnsi="Courier New" w:cs="Courier New" w:hint="default"/>
      </w:rPr>
    </w:lvl>
    <w:lvl w:ilvl="2" w:tplc="F66AF9A0" w:tentative="1">
      <w:start w:val="1"/>
      <w:numFmt w:val="bullet"/>
      <w:lvlText w:val=""/>
      <w:lvlJc w:val="left"/>
      <w:pPr>
        <w:ind w:left="2160" w:hanging="360"/>
      </w:pPr>
      <w:rPr>
        <w:rFonts w:ascii="Wingdings" w:hAnsi="Wingdings" w:hint="default"/>
      </w:rPr>
    </w:lvl>
    <w:lvl w:ilvl="3" w:tplc="2E18B24A" w:tentative="1">
      <w:start w:val="1"/>
      <w:numFmt w:val="bullet"/>
      <w:lvlText w:val=""/>
      <w:lvlJc w:val="left"/>
      <w:pPr>
        <w:ind w:left="2880" w:hanging="360"/>
      </w:pPr>
      <w:rPr>
        <w:rFonts w:ascii="Symbol" w:hAnsi="Symbol" w:hint="default"/>
      </w:rPr>
    </w:lvl>
    <w:lvl w:ilvl="4" w:tplc="60B8F12C" w:tentative="1">
      <w:start w:val="1"/>
      <w:numFmt w:val="bullet"/>
      <w:lvlText w:val="o"/>
      <w:lvlJc w:val="left"/>
      <w:pPr>
        <w:ind w:left="3600" w:hanging="360"/>
      </w:pPr>
      <w:rPr>
        <w:rFonts w:ascii="Courier New" w:hAnsi="Courier New" w:cs="Courier New" w:hint="default"/>
      </w:rPr>
    </w:lvl>
    <w:lvl w:ilvl="5" w:tplc="A738849E" w:tentative="1">
      <w:start w:val="1"/>
      <w:numFmt w:val="bullet"/>
      <w:lvlText w:val=""/>
      <w:lvlJc w:val="left"/>
      <w:pPr>
        <w:ind w:left="4320" w:hanging="360"/>
      </w:pPr>
      <w:rPr>
        <w:rFonts w:ascii="Wingdings" w:hAnsi="Wingdings" w:hint="default"/>
      </w:rPr>
    </w:lvl>
    <w:lvl w:ilvl="6" w:tplc="1074897E" w:tentative="1">
      <w:start w:val="1"/>
      <w:numFmt w:val="bullet"/>
      <w:lvlText w:val=""/>
      <w:lvlJc w:val="left"/>
      <w:pPr>
        <w:ind w:left="5040" w:hanging="360"/>
      </w:pPr>
      <w:rPr>
        <w:rFonts w:ascii="Symbol" w:hAnsi="Symbol" w:hint="default"/>
      </w:rPr>
    </w:lvl>
    <w:lvl w:ilvl="7" w:tplc="4EB842AE" w:tentative="1">
      <w:start w:val="1"/>
      <w:numFmt w:val="bullet"/>
      <w:lvlText w:val="o"/>
      <w:lvlJc w:val="left"/>
      <w:pPr>
        <w:ind w:left="5760" w:hanging="360"/>
      </w:pPr>
      <w:rPr>
        <w:rFonts w:ascii="Courier New" w:hAnsi="Courier New" w:cs="Courier New" w:hint="default"/>
      </w:rPr>
    </w:lvl>
    <w:lvl w:ilvl="8" w:tplc="682602E2" w:tentative="1">
      <w:start w:val="1"/>
      <w:numFmt w:val="bullet"/>
      <w:lvlText w:val=""/>
      <w:lvlJc w:val="left"/>
      <w:pPr>
        <w:ind w:left="6480" w:hanging="360"/>
      </w:pPr>
      <w:rPr>
        <w:rFonts w:ascii="Wingdings" w:hAnsi="Wingdings" w:hint="default"/>
      </w:rPr>
    </w:lvl>
  </w:abstractNum>
  <w:abstractNum w:abstractNumId="6" w15:restartNumberingAfterBreak="0">
    <w:nsid w:val="1E4D2CDD"/>
    <w:multiLevelType w:val="hybridMultilevel"/>
    <w:tmpl w:val="CA1AD732"/>
    <w:lvl w:ilvl="0" w:tplc="CCF80372">
      <w:start w:val="1"/>
      <w:numFmt w:val="bullet"/>
      <w:lvlText w:val=""/>
      <w:lvlJc w:val="left"/>
      <w:pPr>
        <w:ind w:left="720" w:hanging="360"/>
      </w:pPr>
      <w:rPr>
        <w:rFonts w:ascii="Symbol" w:hAnsi="Symbol" w:hint="default"/>
      </w:rPr>
    </w:lvl>
    <w:lvl w:ilvl="1" w:tplc="96641B0E" w:tentative="1">
      <w:start w:val="1"/>
      <w:numFmt w:val="bullet"/>
      <w:lvlText w:val="o"/>
      <w:lvlJc w:val="left"/>
      <w:pPr>
        <w:ind w:left="1440" w:hanging="360"/>
      </w:pPr>
      <w:rPr>
        <w:rFonts w:ascii="Courier New" w:hAnsi="Courier New" w:cs="Courier New" w:hint="default"/>
      </w:rPr>
    </w:lvl>
    <w:lvl w:ilvl="2" w:tplc="72FC8CC6" w:tentative="1">
      <w:start w:val="1"/>
      <w:numFmt w:val="bullet"/>
      <w:lvlText w:val=""/>
      <w:lvlJc w:val="left"/>
      <w:pPr>
        <w:ind w:left="2160" w:hanging="360"/>
      </w:pPr>
      <w:rPr>
        <w:rFonts w:ascii="Wingdings" w:hAnsi="Wingdings" w:hint="default"/>
      </w:rPr>
    </w:lvl>
    <w:lvl w:ilvl="3" w:tplc="ECC87E30" w:tentative="1">
      <w:start w:val="1"/>
      <w:numFmt w:val="bullet"/>
      <w:lvlText w:val=""/>
      <w:lvlJc w:val="left"/>
      <w:pPr>
        <w:ind w:left="2880" w:hanging="360"/>
      </w:pPr>
      <w:rPr>
        <w:rFonts w:ascii="Symbol" w:hAnsi="Symbol" w:hint="default"/>
      </w:rPr>
    </w:lvl>
    <w:lvl w:ilvl="4" w:tplc="58E84910" w:tentative="1">
      <w:start w:val="1"/>
      <w:numFmt w:val="bullet"/>
      <w:lvlText w:val="o"/>
      <w:lvlJc w:val="left"/>
      <w:pPr>
        <w:ind w:left="3600" w:hanging="360"/>
      </w:pPr>
      <w:rPr>
        <w:rFonts w:ascii="Courier New" w:hAnsi="Courier New" w:cs="Courier New" w:hint="default"/>
      </w:rPr>
    </w:lvl>
    <w:lvl w:ilvl="5" w:tplc="66F2D44C" w:tentative="1">
      <w:start w:val="1"/>
      <w:numFmt w:val="bullet"/>
      <w:lvlText w:val=""/>
      <w:lvlJc w:val="left"/>
      <w:pPr>
        <w:ind w:left="4320" w:hanging="360"/>
      </w:pPr>
      <w:rPr>
        <w:rFonts w:ascii="Wingdings" w:hAnsi="Wingdings" w:hint="default"/>
      </w:rPr>
    </w:lvl>
    <w:lvl w:ilvl="6" w:tplc="F028EC04" w:tentative="1">
      <w:start w:val="1"/>
      <w:numFmt w:val="bullet"/>
      <w:lvlText w:val=""/>
      <w:lvlJc w:val="left"/>
      <w:pPr>
        <w:ind w:left="5040" w:hanging="360"/>
      </w:pPr>
      <w:rPr>
        <w:rFonts w:ascii="Symbol" w:hAnsi="Symbol" w:hint="default"/>
      </w:rPr>
    </w:lvl>
    <w:lvl w:ilvl="7" w:tplc="1C72C0D2" w:tentative="1">
      <w:start w:val="1"/>
      <w:numFmt w:val="bullet"/>
      <w:lvlText w:val="o"/>
      <w:lvlJc w:val="left"/>
      <w:pPr>
        <w:ind w:left="5760" w:hanging="360"/>
      </w:pPr>
      <w:rPr>
        <w:rFonts w:ascii="Courier New" w:hAnsi="Courier New" w:cs="Courier New" w:hint="default"/>
      </w:rPr>
    </w:lvl>
    <w:lvl w:ilvl="8" w:tplc="C6FC62D6" w:tentative="1">
      <w:start w:val="1"/>
      <w:numFmt w:val="bullet"/>
      <w:lvlText w:val=""/>
      <w:lvlJc w:val="left"/>
      <w:pPr>
        <w:ind w:left="6480" w:hanging="360"/>
      </w:pPr>
      <w:rPr>
        <w:rFonts w:ascii="Wingdings" w:hAnsi="Wingdings" w:hint="default"/>
      </w:rPr>
    </w:lvl>
  </w:abstractNum>
  <w:abstractNum w:abstractNumId="7" w15:restartNumberingAfterBreak="0">
    <w:nsid w:val="20884B6E"/>
    <w:multiLevelType w:val="hybridMultilevel"/>
    <w:tmpl w:val="14648392"/>
    <w:lvl w:ilvl="0" w:tplc="C95EB03E">
      <w:start w:val="1"/>
      <w:numFmt w:val="bullet"/>
      <w:lvlText w:val=""/>
      <w:lvlJc w:val="left"/>
      <w:pPr>
        <w:ind w:left="720" w:hanging="360"/>
      </w:pPr>
      <w:rPr>
        <w:rFonts w:ascii="Symbol" w:hAnsi="Symbol" w:hint="default"/>
      </w:rPr>
    </w:lvl>
    <w:lvl w:ilvl="1" w:tplc="AD18FE28" w:tentative="1">
      <w:start w:val="1"/>
      <w:numFmt w:val="bullet"/>
      <w:lvlText w:val="o"/>
      <w:lvlJc w:val="left"/>
      <w:pPr>
        <w:ind w:left="1440" w:hanging="360"/>
      </w:pPr>
      <w:rPr>
        <w:rFonts w:ascii="Courier New" w:hAnsi="Courier New" w:cs="Courier New" w:hint="default"/>
      </w:rPr>
    </w:lvl>
    <w:lvl w:ilvl="2" w:tplc="E19239A2" w:tentative="1">
      <w:start w:val="1"/>
      <w:numFmt w:val="bullet"/>
      <w:lvlText w:val=""/>
      <w:lvlJc w:val="left"/>
      <w:pPr>
        <w:ind w:left="2160" w:hanging="360"/>
      </w:pPr>
      <w:rPr>
        <w:rFonts w:ascii="Wingdings" w:hAnsi="Wingdings" w:hint="default"/>
      </w:rPr>
    </w:lvl>
    <w:lvl w:ilvl="3" w:tplc="447215EA" w:tentative="1">
      <w:start w:val="1"/>
      <w:numFmt w:val="bullet"/>
      <w:lvlText w:val=""/>
      <w:lvlJc w:val="left"/>
      <w:pPr>
        <w:ind w:left="2880" w:hanging="360"/>
      </w:pPr>
      <w:rPr>
        <w:rFonts w:ascii="Symbol" w:hAnsi="Symbol" w:hint="default"/>
      </w:rPr>
    </w:lvl>
    <w:lvl w:ilvl="4" w:tplc="1C205EC2" w:tentative="1">
      <w:start w:val="1"/>
      <w:numFmt w:val="bullet"/>
      <w:lvlText w:val="o"/>
      <w:lvlJc w:val="left"/>
      <w:pPr>
        <w:ind w:left="3600" w:hanging="360"/>
      </w:pPr>
      <w:rPr>
        <w:rFonts w:ascii="Courier New" w:hAnsi="Courier New" w:cs="Courier New" w:hint="default"/>
      </w:rPr>
    </w:lvl>
    <w:lvl w:ilvl="5" w:tplc="9B4E6628" w:tentative="1">
      <w:start w:val="1"/>
      <w:numFmt w:val="bullet"/>
      <w:lvlText w:val=""/>
      <w:lvlJc w:val="left"/>
      <w:pPr>
        <w:ind w:left="4320" w:hanging="360"/>
      </w:pPr>
      <w:rPr>
        <w:rFonts w:ascii="Wingdings" w:hAnsi="Wingdings" w:hint="default"/>
      </w:rPr>
    </w:lvl>
    <w:lvl w:ilvl="6" w:tplc="77D82E3C" w:tentative="1">
      <w:start w:val="1"/>
      <w:numFmt w:val="bullet"/>
      <w:lvlText w:val=""/>
      <w:lvlJc w:val="left"/>
      <w:pPr>
        <w:ind w:left="5040" w:hanging="360"/>
      </w:pPr>
      <w:rPr>
        <w:rFonts w:ascii="Symbol" w:hAnsi="Symbol" w:hint="default"/>
      </w:rPr>
    </w:lvl>
    <w:lvl w:ilvl="7" w:tplc="35045694" w:tentative="1">
      <w:start w:val="1"/>
      <w:numFmt w:val="bullet"/>
      <w:lvlText w:val="o"/>
      <w:lvlJc w:val="left"/>
      <w:pPr>
        <w:ind w:left="5760" w:hanging="360"/>
      </w:pPr>
      <w:rPr>
        <w:rFonts w:ascii="Courier New" w:hAnsi="Courier New" w:cs="Courier New" w:hint="default"/>
      </w:rPr>
    </w:lvl>
    <w:lvl w:ilvl="8" w:tplc="CF545578" w:tentative="1">
      <w:start w:val="1"/>
      <w:numFmt w:val="bullet"/>
      <w:lvlText w:val=""/>
      <w:lvlJc w:val="left"/>
      <w:pPr>
        <w:ind w:left="6480" w:hanging="360"/>
      </w:pPr>
      <w:rPr>
        <w:rFonts w:ascii="Wingdings" w:hAnsi="Wingdings" w:hint="default"/>
      </w:rPr>
    </w:lvl>
  </w:abstractNum>
  <w:abstractNum w:abstractNumId="8" w15:restartNumberingAfterBreak="0">
    <w:nsid w:val="25F43190"/>
    <w:multiLevelType w:val="hybridMultilevel"/>
    <w:tmpl w:val="3834B46C"/>
    <w:lvl w:ilvl="0" w:tplc="49A4779E">
      <w:start w:val="1"/>
      <w:numFmt w:val="bullet"/>
      <w:lvlText w:val=""/>
      <w:lvlJc w:val="left"/>
      <w:pPr>
        <w:ind w:left="720" w:hanging="360"/>
      </w:pPr>
      <w:rPr>
        <w:rFonts w:ascii="Symbol" w:hAnsi="Symbol" w:hint="default"/>
      </w:rPr>
    </w:lvl>
    <w:lvl w:ilvl="1" w:tplc="7240A1DA" w:tentative="1">
      <w:start w:val="1"/>
      <w:numFmt w:val="bullet"/>
      <w:lvlText w:val="o"/>
      <w:lvlJc w:val="left"/>
      <w:pPr>
        <w:ind w:left="1440" w:hanging="360"/>
      </w:pPr>
      <w:rPr>
        <w:rFonts w:ascii="Courier New" w:hAnsi="Courier New" w:cs="Courier New" w:hint="default"/>
      </w:rPr>
    </w:lvl>
    <w:lvl w:ilvl="2" w:tplc="D4FC87B6" w:tentative="1">
      <w:start w:val="1"/>
      <w:numFmt w:val="bullet"/>
      <w:lvlText w:val=""/>
      <w:lvlJc w:val="left"/>
      <w:pPr>
        <w:ind w:left="2160" w:hanging="360"/>
      </w:pPr>
      <w:rPr>
        <w:rFonts w:ascii="Wingdings" w:hAnsi="Wingdings" w:hint="default"/>
      </w:rPr>
    </w:lvl>
    <w:lvl w:ilvl="3" w:tplc="CF081574" w:tentative="1">
      <w:start w:val="1"/>
      <w:numFmt w:val="bullet"/>
      <w:lvlText w:val=""/>
      <w:lvlJc w:val="left"/>
      <w:pPr>
        <w:ind w:left="2880" w:hanging="360"/>
      </w:pPr>
      <w:rPr>
        <w:rFonts w:ascii="Symbol" w:hAnsi="Symbol" w:hint="default"/>
      </w:rPr>
    </w:lvl>
    <w:lvl w:ilvl="4" w:tplc="88664F7C" w:tentative="1">
      <w:start w:val="1"/>
      <w:numFmt w:val="bullet"/>
      <w:lvlText w:val="o"/>
      <w:lvlJc w:val="left"/>
      <w:pPr>
        <w:ind w:left="3600" w:hanging="360"/>
      </w:pPr>
      <w:rPr>
        <w:rFonts w:ascii="Courier New" w:hAnsi="Courier New" w:cs="Courier New" w:hint="default"/>
      </w:rPr>
    </w:lvl>
    <w:lvl w:ilvl="5" w:tplc="B6404DE0" w:tentative="1">
      <w:start w:val="1"/>
      <w:numFmt w:val="bullet"/>
      <w:lvlText w:val=""/>
      <w:lvlJc w:val="left"/>
      <w:pPr>
        <w:ind w:left="4320" w:hanging="360"/>
      </w:pPr>
      <w:rPr>
        <w:rFonts w:ascii="Wingdings" w:hAnsi="Wingdings" w:hint="default"/>
      </w:rPr>
    </w:lvl>
    <w:lvl w:ilvl="6" w:tplc="0F0A711E" w:tentative="1">
      <w:start w:val="1"/>
      <w:numFmt w:val="bullet"/>
      <w:lvlText w:val=""/>
      <w:lvlJc w:val="left"/>
      <w:pPr>
        <w:ind w:left="5040" w:hanging="360"/>
      </w:pPr>
      <w:rPr>
        <w:rFonts w:ascii="Symbol" w:hAnsi="Symbol" w:hint="default"/>
      </w:rPr>
    </w:lvl>
    <w:lvl w:ilvl="7" w:tplc="185AA064" w:tentative="1">
      <w:start w:val="1"/>
      <w:numFmt w:val="bullet"/>
      <w:lvlText w:val="o"/>
      <w:lvlJc w:val="left"/>
      <w:pPr>
        <w:ind w:left="5760" w:hanging="360"/>
      </w:pPr>
      <w:rPr>
        <w:rFonts w:ascii="Courier New" w:hAnsi="Courier New" w:cs="Courier New" w:hint="default"/>
      </w:rPr>
    </w:lvl>
    <w:lvl w:ilvl="8" w:tplc="C40A2B44" w:tentative="1">
      <w:start w:val="1"/>
      <w:numFmt w:val="bullet"/>
      <w:lvlText w:val=""/>
      <w:lvlJc w:val="left"/>
      <w:pPr>
        <w:ind w:left="6480" w:hanging="360"/>
      </w:pPr>
      <w:rPr>
        <w:rFonts w:ascii="Wingdings" w:hAnsi="Wingdings" w:hint="default"/>
      </w:rPr>
    </w:lvl>
  </w:abstractNum>
  <w:abstractNum w:abstractNumId="9" w15:restartNumberingAfterBreak="0">
    <w:nsid w:val="26B650CD"/>
    <w:multiLevelType w:val="hybridMultilevel"/>
    <w:tmpl w:val="3C144736"/>
    <w:lvl w:ilvl="0" w:tplc="03B463F8">
      <w:start w:val="1"/>
      <w:numFmt w:val="decimal"/>
      <w:lvlText w:val="%1."/>
      <w:lvlJc w:val="left"/>
      <w:pPr>
        <w:ind w:left="720" w:hanging="360"/>
      </w:pPr>
      <w:rPr>
        <w:rFonts w:ascii="Arial" w:hAnsi="Arial" w:hint="default"/>
        <w:sz w:val="20"/>
      </w:rPr>
    </w:lvl>
    <w:lvl w:ilvl="1" w:tplc="94982EBC" w:tentative="1">
      <w:start w:val="1"/>
      <w:numFmt w:val="lowerLetter"/>
      <w:lvlText w:val="%2."/>
      <w:lvlJc w:val="left"/>
      <w:pPr>
        <w:ind w:left="1440" w:hanging="360"/>
      </w:pPr>
    </w:lvl>
    <w:lvl w:ilvl="2" w:tplc="702CBD4A" w:tentative="1">
      <w:start w:val="1"/>
      <w:numFmt w:val="lowerRoman"/>
      <w:lvlText w:val="%3."/>
      <w:lvlJc w:val="right"/>
      <w:pPr>
        <w:ind w:left="2160" w:hanging="180"/>
      </w:pPr>
    </w:lvl>
    <w:lvl w:ilvl="3" w:tplc="435CA89C" w:tentative="1">
      <w:start w:val="1"/>
      <w:numFmt w:val="decimal"/>
      <w:lvlText w:val="%4."/>
      <w:lvlJc w:val="left"/>
      <w:pPr>
        <w:ind w:left="2880" w:hanging="360"/>
      </w:pPr>
    </w:lvl>
    <w:lvl w:ilvl="4" w:tplc="1C18485E" w:tentative="1">
      <w:start w:val="1"/>
      <w:numFmt w:val="lowerLetter"/>
      <w:lvlText w:val="%5."/>
      <w:lvlJc w:val="left"/>
      <w:pPr>
        <w:ind w:left="3600" w:hanging="360"/>
      </w:pPr>
    </w:lvl>
    <w:lvl w:ilvl="5" w:tplc="C4FCA5DE" w:tentative="1">
      <w:start w:val="1"/>
      <w:numFmt w:val="lowerRoman"/>
      <w:lvlText w:val="%6."/>
      <w:lvlJc w:val="right"/>
      <w:pPr>
        <w:ind w:left="4320" w:hanging="180"/>
      </w:pPr>
    </w:lvl>
    <w:lvl w:ilvl="6" w:tplc="BFF80496" w:tentative="1">
      <w:start w:val="1"/>
      <w:numFmt w:val="decimal"/>
      <w:lvlText w:val="%7."/>
      <w:lvlJc w:val="left"/>
      <w:pPr>
        <w:ind w:left="5040" w:hanging="360"/>
      </w:pPr>
    </w:lvl>
    <w:lvl w:ilvl="7" w:tplc="3AA2DE72" w:tentative="1">
      <w:start w:val="1"/>
      <w:numFmt w:val="lowerLetter"/>
      <w:lvlText w:val="%8."/>
      <w:lvlJc w:val="left"/>
      <w:pPr>
        <w:ind w:left="5760" w:hanging="360"/>
      </w:pPr>
    </w:lvl>
    <w:lvl w:ilvl="8" w:tplc="37DAF888" w:tentative="1">
      <w:start w:val="1"/>
      <w:numFmt w:val="lowerRoman"/>
      <w:lvlText w:val="%9."/>
      <w:lvlJc w:val="right"/>
      <w:pPr>
        <w:ind w:left="6480" w:hanging="180"/>
      </w:pPr>
    </w:lvl>
  </w:abstractNum>
  <w:abstractNum w:abstractNumId="10" w15:restartNumberingAfterBreak="0">
    <w:nsid w:val="30340154"/>
    <w:multiLevelType w:val="hybridMultilevel"/>
    <w:tmpl w:val="7D7C7980"/>
    <w:lvl w:ilvl="0" w:tplc="A1862624">
      <w:start w:val="1"/>
      <w:numFmt w:val="bullet"/>
      <w:lvlText w:val=""/>
      <w:lvlJc w:val="left"/>
      <w:pPr>
        <w:ind w:left="720" w:hanging="360"/>
      </w:pPr>
      <w:rPr>
        <w:rFonts w:ascii="Symbol" w:hAnsi="Symbol" w:hint="default"/>
      </w:rPr>
    </w:lvl>
    <w:lvl w:ilvl="1" w:tplc="827409B2" w:tentative="1">
      <w:start w:val="1"/>
      <w:numFmt w:val="bullet"/>
      <w:lvlText w:val="o"/>
      <w:lvlJc w:val="left"/>
      <w:pPr>
        <w:ind w:left="1440" w:hanging="360"/>
      </w:pPr>
      <w:rPr>
        <w:rFonts w:ascii="Courier New" w:hAnsi="Courier New" w:cs="Courier New" w:hint="default"/>
      </w:rPr>
    </w:lvl>
    <w:lvl w:ilvl="2" w:tplc="594ABF70" w:tentative="1">
      <w:start w:val="1"/>
      <w:numFmt w:val="bullet"/>
      <w:lvlText w:val=""/>
      <w:lvlJc w:val="left"/>
      <w:pPr>
        <w:ind w:left="2160" w:hanging="360"/>
      </w:pPr>
      <w:rPr>
        <w:rFonts w:ascii="Wingdings" w:hAnsi="Wingdings" w:hint="default"/>
      </w:rPr>
    </w:lvl>
    <w:lvl w:ilvl="3" w:tplc="D428C1C6" w:tentative="1">
      <w:start w:val="1"/>
      <w:numFmt w:val="bullet"/>
      <w:lvlText w:val=""/>
      <w:lvlJc w:val="left"/>
      <w:pPr>
        <w:ind w:left="2880" w:hanging="360"/>
      </w:pPr>
      <w:rPr>
        <w:rFonts w:ascii="Symbol" w:hAnsi="Symbol" w:hint="default"/>
      </w:rPr>
    </w:lvl>
    <w:lvl w:ilvl="4" w:tplc="502404AA" w:tentative="1">
      <w:start w:val="1"/>
      <w:numFmt w:val="bullet"/>
      <w:lvlText w:val="o"/>
      <w:lvlJc w:val="left"/>
      <w:pPr>
        <w:ind w:left="3600" w:hanging="360"/>
      </w:pPr>
      <w:rPr>
        <w:rFonts w:ascii="Courier New" w:hAnsi="Courier New" w:cs="Courier New" w:hint="default"/>
      </w:rPr>
    </w:lvl>
    <w:lvl w:ilvl="5" w:tplc="45BA50EA" w:tentative="1">
      <w:start w:val="1"/>
      <w:numFmt w:val="bullet"/>
      <w:lvlText w:val=""/>
      <w:lvlJc w:val="left"/>
      <w:pPr>
        <w:ind w:left="4320" w:hanging="360"/>
      </w:pPr>
      <w:rPr>
        <w:rFonts w:ascii="Wingdings" w:hAnsi="Wingdings" w:hint="default"/>
      </w:rPr>
    </w:lvl>
    <w:lvl w:ilvl="6" w:tplc="71CC06BE" w:tentative="1">
      <w:start w:val="1"/>
      <w:numFmt w:val="bullet"/>
      <w:lvlText w:val=""/>
      <w:lvlJc w:val="left"/>
      <w:pPr>
        <w:ind w:left="5040" w:hanging="360"/>
      </w:pPr>
      <w:rPr>
        <w:rFonts w:ascii="Symbol" w:hAnsi="Symbol" w:hint="default"/>
      </w:rPr>
    </w:lvl>
    <w:lvl w:ilvl="7" w:tplc="168E9944" w:tentative="1">
      <w:start w:val="1"/>
      <w:numFmt w:val="bullet"/>
      <w:lvlText w:val="o"/>
      <w:lvlJc w:val="left"/>
      <w:pPr>
        <w:ind w:left="5760" w:hanging="360"/>
      </w:pPr>
      <w:rPr>
        <w:rFonts w:ascii="Courier New" w:hAnsi="Courier New" w:cs="Courier New" w:hint="default"/>
      </w:rPr>
    </w:lvl>
    <w:lvl w:ilvl="8" w:tplc="547A325C" w:tentative="1">
      <w:start w:val="1"/>
      <w:numFmt w:val="bullet"/>
      <w:lvlText w:val=""/>
      <w:lvlJc w:val="left"/>
      <w:pPr>
        <w:ind w:left="6480" w:hanging="360"/>
      </w:pPr>
      <w:rPr>
        <w:rFonts w:ascii="Wingdings" w:hAnsi="Wingdings" w:hint="default"/>
      </w:rPr>
    </w:lvl>
  </w:abstractNum>
  <w:abstractNum w:abstractNumId="11" w15:restartNumberingAfterBreak="0">
    <w:nsid w:val="331E5458"/>
    <w:multiLevelType w:val="hybridMultilevel"/>
    <w:tmpl w:val="B5B4520E"/>
    <w:lvl w:ilvl="0" w:tplc="98300E00">
      <w:start w:val="1"/>
      <w:numFmt w:val="decimal"/>
      <w:lvlText w:val="%1."/>
      <w:lvlJc w:val="left"/>
      <w:pPr>
        <w:ind w:left="720" w:hanging="360"/>
      </w:pPr>
      <w:rPr>
        <w:rFonts w:ascii="Arial" w:hAnsi="Arial" w:hint="default"/>
        <w:sz w:val="20"/>
      </w:rPr>
    </w:lvl>
    <w:lvl w:ilvl="1" w:tplc="69FEB59A" w:tentative="1">
      <w:start w:val="1"/>
      <w:numFmt w:val="lowerLetter"/>
      <w:lvlText w:val="%2."/>
      <w:lvlJc w:val="left"/>
      <w:pPr>
        <w:ind w:left="1440" w:hanging="360"/>
      </w:pPr>
    </w:lvl>
    <w:lvl w:ilvl="2" w:tplc="6D9EE336" w:tentative="1">
      <w:start w:val="1"/>
      <w:numFmt w:val="lowerRoman"/>
      <w:lvlText w:val="%3."/>
      <w:lvlJc w:val="right"/>
      <w:pPr>
        <w:ind w:left="2160" w:hanging="180"/>
      </w:pPr>
    </w:lvl>
    <w:lvl w:ilvl="3" w:tplc="1E6EAFCA" w:tentative="1">
      <w:start w:val="1"/>
      <w:numFmt w:val="decimal"/>
      <w:lvlText w:val="%4."/>
      <w:lvlJc w:val="left"/>
      <w:pPr>
        <w:ind w:left="2880" w:hanging="360"/>
      </w:pPr>
    </w:lvl>
    <w:lvl w:ilvl="4" w:tplc="594AF502" w:tentative="1">
      <w:start w:val="1"/>
      <w:numFmt w:val="lowerLetter"/>
      <w:lvlText w:val="%5."/>
      <w:lvlJc w:val="left"/>
      <w:pPr>
        <w:ind w:left="3600" w:hanging="360"/>
      </w:pPr>
    </w:lvl>
    <w:lvl w:ilvl="5" w:tplc="CDDAD0D8" w:tentative="1">
      <w:start w:val="1"/>
      <w:numFmt w:val="lowerRoman"/>
      <w:lvlText w:val="%6."/>
      <w:lvlJc w:val="right"/>
      <w:pPr>
        <w:ind w:left="4320" w:hanging="180"/>
      </w:pPr>
    </w:lvl>
    <w:lvl w:ilvl="6" w:tplc="98D245E2" w:tentative="1">
      <w:start w:val="1"/>
      <w:numFmt w:val="decimal"/>
      <w:lvlText w:val="%7."/>
      <w:lvlJc w:val="left"/>
      <w:pPr>
        <w:ind w:left="5040" w:hanging="360"/>
      </w:pPr>
    </w:lvl>
    <w:lvl w:ilvl="7" w:tplc="60FE5A50" w:tentative="1">
      <w:start w:val="1"/>
      <w:numFmt w:val="lowerLetter"/>
      <w:lvlText w:val="%8."/>
      <w:lvlJc w:val="left"/>
      <w:pPr>
        <w:ind w:left="5760" w:hanging="360"/>
      </w:pPr>
    </w:lvl>
    <w:lvl w:ilvl="8" w:tplc="4726FEFC" w:tentative="1">
      <w:start w:val="1"/>
      <w:numFmt w:val="lowerRoman"/>
      <w:lvlText w:val="%9."/>
      <w:lvlJc w:val="right"/>
      <w:pPr>
        <w:ind w:left="6480" w:hanging="180"/>
      </w:pPr>
    </w:lvl>
  </w:abstractNum>
  <w:abstractNum w:abstractNumId="12" w15:restartNumberingAfterBreak="0">
    <w:nsid w:val="346D013E"/>
    <w:multiLevelType w:val="hybridMultilevel"/>
    <w:tmpl w:val="E7E25118"/>
    <w:lvl w:ilvl="0" w:tplc="D108BC46">
      <w:start w:val="1"/>
      <w:numFmt w:val="bullet"/>
      <w:lvlText w:val=""/>
      <w:lvlJc w:val="left"/>
      <w:pPr>
        <w:ind w:left="720" w:hanging="360"/>
      </w:pPr>
      <w:rPr>
        <w:rFonts w:ascii="Symbol" w:hAnsi="Symbol" w:hint="default"/>
      </w:rPr>
    </w:lvl>
    <w:lvl w:ilvl="1" w:tplc="550049D8" w:tentative="1">
      <w:start w:val="1"/>
      <w:numFmt w:val="bullet"/>
      <w:lvlText w:val="o"/>
      <w:lvlJc w:val="left"/>
      <w:pPr>
        <w:ind w:left="1440" w:hanging="360"/>
      </w:pPr>
      <w:rPr>
        <w:rFonts w:ascii="Courier New" w:hAnsi="Courier New" w:cs="Courier New" w:hint="default"/>
      </w:rPr>
    </w:lvl>
    <w:lvl w:ilvl="2" w:tplc="63088FA0" w:tentative="1">
      <w:start w:val="1"/>
      <w:numFmt w:val="bullet"/>
      <w:lvlText w:val=""/>
      <w:lvlJc w:val="left"/>
      <w:pPr>
        <w:ind w:left="2160" w:hanging="360"/>
      </w:pPr>
      <w:rPr>
        <w:rFonts w:ascii="Wingdings" w:hAnsi="Wingdings" w:hint="default"/>
      </w:rPr>
    </w:lvl>
    <w:lvl w:ilvl="3" w:tplc="53C4D592" w:tentative="1">
      <w:start w:val="1"/>
      <w:numFmt w:val="bullet"/>
      <w:lvlText w:val=""/>
      <w:lvlJc w:val="left"/>
      <w:pPr>
        <w:ind w:left="2880" w:hanging="360"/>
      </w:pPr>
      <w:rPr>
        <w:rFonts w:ascii="Symbol" w:hAnsi="Symbol" w:hint="default"/>
      </w:rPr>
    </w:lvl>
    <w:lvl w:ilvl="4" w:tplc="030AD5E4" w:tentative="1">
      <w:start w:val="1"/>
      <w:numFmt w:val="bullet"/>
      <w:lvlText w:val="o"/>
      <w:lvlJc w:val="left"/>
      <w:pPr>
        <w:ind w:left="3600" w:hanging="360"/>
      </w:pPr>
      <w:rPr>
        <w:rFonts w:ascii="Courier New" w:hAnsi="Courier New" w:cs="Courier New" w:hint="default"/>
      </w:rPr>
    </w:lvl>
    <w:lvl w:ilvl="5" w:tplc="1360C61A" w:tentative="1">
      <w:start w:val="1"/>
      <w:numFmt w:val="bullet"/>
      <w:lvlText w:val=""/>
      <w:lvlJc w:val="left"/>
      <w:pPr>
        <w:ind w:left="4320" w:hanging="360"/>
      </w:pPr>
      <w:rPr>
        <w:rFonts w:ascii="Wingdings" w:hAnsi="Wingdings" w:hint="default"/>
      </w:rPr>
    </w:lvl>
    <w:lvl w:ilvl="6" w:tplc="65EEB7F8" w:tentative="1">
      <w:start w:val="1"/>
      <w:numFmt w:val="bullet"/>
      <w:lvlText w:val=""/>
      <w:lvlJc w:val="left"/>
      <w:pPr>
        <w:ind w:left="5040" w:hanging="360"/>
      </w:pPr>
      <w:rPr>
        <w:rFonts w:ascii="Symbol" w:hAnsi="Symbol" w:hint="default"/>
      </w:rPr>
    </w:lvl>
    <w:lvl w:ilvl="7" w:tplc="26525BB0" w:tentative="1">
      <w:start w:val="1"/>
      <w:numFmt w:val="bullet"/>
      <w:lvlText w:val="o"/>
      <w:lvlJc w:val="left"/>
      <w:pPr>
        <w:ind w:left="5760" w:hanging="360"/>
      </w:pPr>
      <w:rPr>
        <w:rFonts w:ascii="Courier New" w:hAnsi="Courier New" w:cs="Courier New" w:hint="default"/>
      </w:rPr>
    </w:lvl>
    <w:lvl w:ilvl="8" w:tplc="F23EF246" w:tentative="1">
      <w:start w:val="1"/>
      <w:numFmt w:val="bullet"/>
      <w:lvlText w:val=""/>
      <w:lvlJc w:val="left"/>
      <w:pPr>
        <w:ind w:left="6480" w:hanging="360"/>
      </w:pPr>
      <w:rPr>
        <w:rFonts w:ascii="Wingdings" w:hAnsi="Wingdings" w:hint="default"/>
      </w:rPr>
    </w:lvl>
  </w:abstractNum>
  <w:abstractNum w:abstractNumId="13" w15:restartNumberingAfterBreak="0">
    <w:nsid w:val="41411F78"/>
    <w:multiLevelType w:val="hybridMultilevel"/>
    <w:tmpl w:val="23F26A12"/>
    <w:lvl w:ilvl="0" w:tplc="60A4FFCE">
      <w:start w:val="1"/>
      <w:numFmt w:val="bullet"/>
      <w:lvlText w:val=""/>
      <w:lvlJc w:val="left"/>
      <w:pPr>
        <w:ind w:left="720" w:hanging="360"/>
      </w:pPr>
      <w:rPr>
        <w:rFonts w:ascii="Symbol" w:hAnsi="Symbol" w:hint="default"/>
      </w:rPr>
    </w:lvl>
    <w:lvl w:ilvl="1" w:tplc="2D86F7CC" w:tentative="1">
      <w:start w:val="1"/>
      <w:numFmt w:val="bullet"/>
      <w:lvlText w:val="o"/>
      <w:lvlJc w:val="left"/>
      <w:pPr>
        <w:ind w:left="1440" w:hanging="360"/>
      </w:pPr>
      <w:rPr>
        <w:rFonts w:ascii="Courier New" w:hAnsi="Courier New" w:cs="Courier New" w:hint="default"/>
      </w:rPr>
    </w:lvl>
    <w:lvl w:ilvl="2" w:tplc="146CF57A" w:tentative="1">
      <w:start w:val="1"/>
      <w:numFmt w:val="bullet"/>
      <w:lvlText w:val=""/>
      <w:lvlJc w:val="left"/>
      <w:pPr>
        <w:ind w:left="2160" w:hanging="360"/>
      </w:pPr>
      <w:rPr>
        <w:rFonts w:ascii="Wingdings" w:hAnsi="Wingdings" w:hint="default"/>
      </w:rPr>
    </w:lvl>
    <w:lvl w:ilvl="3" w:tplc="EEB4F6BC" w:tentative="1">
      <w:start w:val="1"/>
      <w:numFmt w:val="bullet"/>
      <w:lvlText w:val=""/>
      <w:lvlJc w:val="left"/>
      <w:pPr>
        <w:ind w:left="2880" w:hanging="360"/>
      </w:pPr>
      <w:rPr>
        <w:rFonts w:ascii="Symbol" w:hAnsi="Symbol" w:hint="default"/>
      </w:rPr>
    </w:lvl>
    <w:lvl w:ilvl="4" w:tplc="4D0E8760" w:tentative="1">
      <w:start w:val="1"/>
      <w:numFmt w:val="bullet"/>
      <w:lvlText w:val="o"/>
      <w:lvlJc w:val="left"/>
      <w:pPr>
        <w:ind w:left="3600" w:hanging="360"/>
      </w:pPr>
      <w:rPr>
        <w:rFonts w:ascii="Courier New" w:hAnsi="Courier New" w:cs="Courier New" w:hint="default"/>
      </w:rPr>
    </w:lvl>
    <w:lvl w:ilvl="5" w:tplc="E6DE6940" w:tentative="1">
      <w:start w:val="1"/>
      <w:numFmt w:val="bullet"/>
      <w:lvlText w:val=""/>
      <w:lvlJc w:val="left"/>
      <w:pPr>
        <w:ind w:left="4320" w:hanging="360"/>
      </w:pPr>
      <w:rPr>
        <w:rFonts w:ascii="Wingdings" w:hAnsi="Wingdings" w:hint="default"/>
      </w:rPr>
    </w:lvl>
    <w:lvl w:ilvl="6" w:tplc="465CB8A2" w:tentative="1">
      <w:start w:val="1"/>
      <w:numFmt w:val="bullet"/>
      <w:lvlText w:val=""/>
      <w:lvlJc w:val="left"/>
      <w:pPr>
        <w:ind w:left="5040" w:hanging="360"/>
      </w:pPr>
      <w:rPr>
        <w:rFonts w:ascii="Symbol" w:hAnsi="Symbol" w:hint="default"/>
      </w:rPr>
    </w:lvl>
    <w:lvl w:ilvl="7" w:tplc="CB841192" w:tentative="1">
      <w:start w:val="1"/>
      <w:numFmt w:val="bullet"/>
      <w:lvlText w:val="o"/>
      <w:lvlJc w:val="left"/>
      <w:pPr>
        <w:ind w:left="5760" w:hanging="360"/>
      </w:pPr>
      <w:rPr>
        <w:rFonts w:ascii="Courier New" w:hAnsi="Courier New" w:cs="Courier New" w:hint="default"/>
      </w:rPr>
    </w:lvl>
    <w:lvl w:ilvl="8" w:tplc="915E2DAA" w:tentative="1">
      <w:start w:val="1"/>
      <w:numFmt w:val="bullet"/>
      <w:lvlText w:val=""/>
      <w:lvlJc w:val="left"/>
      <w:pPr>
        <w:ind w:left="6480" w:hanging="360"/>
      </w:pPr>
      <w:rPr>
        <w:rFonts w:ascii="Wingdings" w:hAnsi="Wingdings" w:hint="default"/>
      </w:rPr>
    </w:lvl>
  </w:abstractNum>
  <w:abstractNum w:abstractNumId="14" w15:restartNumberingAfterBreak="0">
    <w:nsid w:val="4B52568C"/>
    <w:multiLevelType w:val="hybridMultilevel"/>
    <w:tmpl w:val="DE26DA44"/>
    <w:lvl w:ilvl="0" w:tplc="B00C5B0C">
      <w:start w:val="1"/>
      <w:numFmt w:val="bullet"/>
      <w:lvlText w:val=""/>
      <w:lvlJc w:val="left"/>
      <w:pPr>
        <w:ind w:left="720" w:hanging="360"/>
      </w:pPr>
      <w:rPr>
        <w:rFonts w:ascii="Symbol" w:hAnsi="Symbol" w:hint="default"/>
      </w:rPr>
    </w:lvl>
    <w:lvl w:ilvl="1" w:tplc="51EC582C" w:tentative="1">
      <w:start w:val="1"/>
      <w:numFmt w:val="bullet"/>
      <w:lvlText w:val="o"/>
      <w:lvlJc w:val="left"/>
      <w:pPr>
        <w:ind w:left="1440" w:hanging="360"/>
      </w:pPr>
      <w:rPr>
        <w:rFonts w:ascii="Courier New" w:hAnsi="Courier New" w:cs="Courier New" w:hint="default"/>
      </w:rPr>
    </w:lvl>
    <w:lvl w:ilvl="2" w:tplc="E96ECD48" w:tentative="1">
      <w:start w:val="1"/>
      <w:numFmt w:val="bullet"/>
      <w:lvlText w:val=""/>
      <w:lvlJc w:val="left"/>
      <w:pPr>
        <w:ind w:left="2160" w:hanging="360"/>
      </w:pPr>
      <w:rPr>
        <w:rFonts w:ascii="Wingdings" w:hAnsi="Wingdings" w:hint="default"/>
      </w:rPr>
    </w:lvl>
    <w:lvl w:ilvl="3" w:tplc="DD08FD5A" w:tentative="1">
      <w:start w:val="1"/>
      <w:numFmt w:val="bullet"/>
      <w:lvlText w:val=""/>
      <w:lvlJc w:val="left"/>
      <w:pPr>
        <w:ind w:left="2880" w:hanging="360"/>
      </w:pPr>
      <w:rPr>
        <w:rFonts w:ascii="Symbol" w:hAnsi="Symbol" w:hint="default"/>
      </w:rPr>
    </w:lvl>
    <w:lvl w:ilvl="4" w:tplc="20A6C9A8" w:tentative="1">
      <w:start w:val="1"/>
      <w:numFmt w:val="bullet"/>
      <w:lvlText w:val="o"/>
      <w:lvlJc w:val="left"/>
      <w:pPr>
        <w:ind w:left="3600" w:hanging="360"/>
      </w:pPr>
      <w:rPr>
        <w:rFonts w:ascii="Courier New" w:hAnsi="Courier New" w:cs="Courier New" w:hint="default"/>
      </w:rPr>
    </w:lvl>
    <w:lvl w:ilvl="5" w:tplc="E52687FE" w:tentative="1">
      <w:start w:val="1"/>
      <w:numFmt w:val="bullet"/>
      <w:lvlText w:val=""/>
      <w:lvlJc w:val="left"/>
      <w:pPr>
        <w:ind w:left="4320" w:hanging="360"/>
      </w:pPr>
      <w:rPr>
        <w:rFonts w:ascii="Wingdings" w:hAnsi="Wingdings" w:hint="default"/>
      </w:rPr>
    </w:lvl>
    <w:lvl w:ilvl="6" w:tplc="937CA144" w:tentative="1">
      <w:start w:val="1"/>
      <w:numFmt w:val="bullet"/>
      <w:lvlText w:val=""/>
      <w:lvlJc w:val="left"/>
      <w:pPr>
        <w:ind w:left="5040" w:hanging="360"/>
      </w:pPr>
      <w:rPr>
        <w:rFonts w:ascii="Symbol" w:hAnsi="Symbol" w:hint="default"/>
      </w:rPr>
    </w:lvl>
    <w:lvl w:ilvl="7" w:tplc="562C38DE" w:tentative="1">
      <w:start w:val="1"/>
      <w:numFmt w:val="bullet"/>
      <w:lvlText w:val="o"/>
      <w:lvlJc w:val="left"/>
      <w:pPr>
        <w:ind w:left="5760" w:hanging="360"/>
      </w:pPr>
      <w:rPr>
        <w:rFonts w:ascii="Courier New" w:hAnsi="Courier New" w:cs="Courier New" w:hint="default"/>
      </w:rPr>
    </w:lvl>
    <w:lvl w:ilvl="8" w:tplc="E6B0B494" w:tentative="1">
      <w:start w:val="1"/>
      <w:numFmt w:val="bullet"/>
      <w:lvlText w:val=""/>
      <w:lvlJc w:val="left"/>
      <w:pPr>
        <w:ind w:left="6480" w:hanging="360"/>
      </w:pPr>
      <w:rPr>
        <w:rFonts w:ascii="Wingdings" w:hAnsi="Wingdings" w:hint="default"/>
      </w:rPr>
    </w:lvl>
  </w:abstractNum>
  <w:abstractNum w:abstractNumId="15" w15:restartNumberingAfterBreak="0">
    <w:nsid w:val="5C543E73"/>
    <w:multiLevelType w:val="hybridMultilevel"/>
    <w:tmpl w:val="1564DCAE"/>
    <w:lvl w:ilvl="0" w:tplc="7368F87A">
      <w:start w:val="1"/>
      <w:numFmt w:val="bullet"/>
      <w:lvlText w:val=""/>
      <w:lvlJc w:val="left"/>
      <w:pPr>
        <w:ind w:left="720" w:hanging="360"/>
      </w:pPr>
      <w:rPr>
        <w:rFonts w:ascii="Symbol" w:hAnsi="Symbol" w:hint="default"/>
      </w:rPr>
    </w:lvl>
    <w:lvl w:ilvl="1" w:tplc="E51E4F70" w:tentative="1">
      <w:start w:val="1"/>
      <w:numFmt w:val="bullet"/>
      <w:lvlText w:val="o"/>
      <w:lvlJc w:val="left"/>
      <w:pPr>
        <w:ind w:left="1440" w:hanging="360"/>
      </w:pPr>
      <w:rPr>
        <w:rFonts w:ascii="Courier New" w:hAnsi="Courier New" w:cs="Courier New" w:hint="default"/>
      </w:rPr>
    </w:lvl>
    <w:lvl w:ilvl="2" w:tplc="EE6C38A6" w:tentative="1">
      <w:start w:val="1"/>
      <w:numFmt w:val="bullet"/>
      <w:lvlText w:val=""/>
      <w:lvlJc w:val="left"/>
      <w:pPr>
        <w:ind w:left="2160" w:hanging="360"/>
      </w:pPr>
      <w:rPr>
        <w:rFonts w:ascii="Wingdings" w:hAnsi="Wingdings" w:hint="default"/>
      </w:rPr>
    </w:lvl>
    <w:lvl w:ilvl="3" w:tplc="99AC02E6" w:tentative="1">
      <w:start w:val="1"/>
      <w:numFmt w:val="bullet"/>
      <w:lvlText w:val=""/>
      <w:lvlJc w:val="left"/>
      <w:pPr>
        <w:ind w:left="2880" w:hanging="360"/>
      </w:pPr>
      <w:rPr>
        <w:rFonts w:ascii="Symbol" w:hAnsi="Symbol" w:hint="default"/>
      </w:rPr>
    </w:lvl>
    <w:lvl w:ilvl="4" w:tplc="8E24A702" w:tentative="1">
      <w:start w:val="1"/>
      <w:numFmt w:val="bullet"/>
      <w:lvlText w:val="o"/>
      <w:lvlJc w:val="left"/>
      <w:pPr>
        <w:ind w:left="3600" w:hanging="360"/>
      </w:pPr>
      <w:rPr>
        <w:rFonts w:ascii="Courier New" w:hAnsi="Courier New" w:cs="Courier New" w:hint="default"/>
      </w:rPr>
    </w:lvl>
    <w:lvl w:ilvl="5" w:tplc="9DC63BD0" w:tentative="1">
      <w:start w:val="1"/>
      <w:numFmt w:val="bullet"/>
      <w:lvlText w:val=""/>
      <w:lvlJc w:val="left"/>
      <w:pPr>
        <w:ind w:left="4320" w:hanging="360"/>
      </w:pPr>
      <w:rPr>
        <w:rFonts w:ascii="Wingdings" w:hAnsi="Wingdings" w:hint="default"/>
      </w:rPr>
    </w:lvl>
    <w:lvl w:ilvl="6" w:tplc="EE18C41A" w:tentative="1">
      <w:start w:val="1"/>
      <w:numFmt w:val="bullet"/>
      <w:lvlText w:val=""/>
      <w:lvlJc w:val="left"/>
      <w:pPr>
        <w:ind w:left="5040" w:hanging="360"/>
      </w:pPr>
      <w:rPr>
        <w:rFonts w:ascii="Symbol" w:hAnsi="Symbol" w:hint="default"/>
      </w:rPr>
    </w:lvl>
    <w:lvl w:ilvl="7" w:tplc="A01CDF5A" w:tentative="1">
      <w:start w:val="1"/>
      <w:numFmt w:val="bullet"/>
      <w:lvlText w:val="o"/>
      <w:lvlJc w:val="left"/>
      <w:pPr>
        <w:ind w:left="5760" w:hanging="360"/>
      </w:pPr>
      <w:rPr>
        <w:rFonts w:ascii="Courier New" w:hAnsi="Courier New" w:cs="Courier New" w:hint="default"/>
      </w:rPr>
    </w:lvl>
    <w:lvl w:ilvl="8" w:tplc="FDECE9E2" w:tentative="1">
      <w:start w:val="1"/>
      <w:numFmt w:val="bullet"/>
      <w:lvlText w:val=""/>
      <w:lvlJc w:val="left"/>
      <w:pPr>
        <w:ind w:left="6480" w:hanging="360"/>
      </w:pPr>
      <w:rPr>
        <w:rFonts w:ascii="Wingdings" w:hAnsi="Wingdings" w:hint="default"/>
      </w:rPr>
    </w:lvl>
  </w:abstractNum>
  <w:abstractNum w:abstractNumId="16" w15:restartNumberingAfterBreak="0">
    <w:nsid w:val="5EA657B7"/>
    <w:multiLevelType w:val="hybridMultilevel"/>
    <w:tmpl w:val="7C146D62"/>
    <w:lvl w:ilvl="0" w:tplc="86DAD376">
      <w:start w:val="1"/>
      <w:numFmt w:val="lowerLetter"/>
      <w:lvlText w:val="%1)"/>
      <w:lvlJc w:val="left"/>
      <w:pPr>
        <w:ind w:left="720" w:hanging="360"/>
      </w:pPr>
    </w:lvl>
    <w:lvl w:ilvl="1" w:tplc="D1D0C064" w:tentative="1">
      <w:start w:val="1"/>
      <w:numFmt w:val="lowerLetter"/>
      <w:lvlText w:val="%2."/>
      <w:lvlJc w:val="left"/>
      <w:pPr>
        <w:ind w:left="1440" w:hanging="360"/>
      </w:pPr>
    </w:lvl>
    <w:lvl w:ilvl="2" w:tplc="418C1C26" w:tentative="1">
      <w:start w:val="1"/>
      <w:numFmt w:val="lowerRoman"/>
      <w:lvlText w:val="%3."/>
      <w:lvlJc w:val="right"/>
      <w:pPr>
        <w:ind w:left="2160" w:hanging="180"/>
      </w:pPr>
    </w:lvl>
    <w:lvl w:ilvl="3" w:tplc="53264300" w:tentative="1">
      <w:start w:val="1"/>
      <w:numFmt w:val="decimal"/>
      <w:lvlText w:val="%4."/>
      <w:lvlJc w:val="left"/>
      <w:pPr>
        <w:ind w:left="2880" w:hanging="360"/>
      </w:pPr>
    </w:lvl>
    <w:lvl w:ilvl="4" w:tplc="AA8C40B8" w:tentative="1">
      <w:start w:val="1"/>
      <w:numFmt w:val="lowerLetter"/>
      <w:lvlText w:val="%5."/>
      <w:lvlJc w:val="left"/>
      <w:pPr>
        <w:ind w:left="3600" w:hanging="360"/>
      </w:pPr>
    </w:lvl>
    <w:lvl w:ilvl="5" w:tplc="65F24CB8" w:tentative="1">
      <w:start w:val="1"/>
      <w:numFmt w:val="lowerRoman"/>
      <w:lvlText w:val="%6."/>
      <w:lvlJc w:val="right"/>
      <w:pPr>
        <w:ind w:left="4320" w:hanging="180"/>
      </w:pPr>
    </w:lvl>
    <w:lvl w:ilvl="6" w:tplc="B03A485E" w:tentative="1">
      <w:start w:val="1"/>
      <w:numFmt w:val="decimal"/>
      <w:lvlText w:val="%7."/>
      <w:lvlJc w:val="left"/>
      <w:pPr>
        <w:ind w:left="5040" w:hanging="360"/>
      </w:pPr>
    </w:lvl>
    <w:lvl w:ilvl="7" w:tplc="9AA6592E" w:tentative="1">
      <w:start w:val="1"/>
      <w:numFmt w:val="lowerLetter"/>
      <w:lvlText w:val="%8."/>
      <w:lvlJc w:val="left"/>
      <w:pPr>
        <w:ind w:left="5760" w:hanging="360"/>
      </w:pPr>
    </w:lvl>
    <w:lvl w:ilvl="8" w:tplc="8ECA52B8" w:tentative="1">
      <w:start w:val="1"/>
      <w:numFmt w:val="lowerRoman"/>
      <w:lvlText w:val="%9."/>
      <w:lvlJc w:val="right"/>
      <w:pPr>
        <w:ind w:left="6480" w:hanging="180"/>
      </w:pPr>
    </w:lvl>
  </w:abstractNum>
  <w:abstractNum w:abstractNumId="17" w15:restartNumberingAfterBreak="0">
    <w:nsid w:val="62FB70DC"/>
    <w:multiLevelType w:val="hybridMultilevel"/>
    <w:tmpl w:val="2C76376C"/>
    <w:lvl w:ilvl="0" w:tplc="207A6AEE">
      <w:start w:val="1"/>
      <w:numFmt w:val="bullet"/>
      <w:lvlText w:val=""/>
      <w:lvlJc w:val="left"/>
      <w:pPr>
        <w:ind w:left="1429" w:hanging="360"/>
      </w:pPr>
      <w:rPr>
        <w:rFonts w:ascii="Symbol" w:hAnsi="Symbol" w:hint="default"/>
      </w:rPr>
    </w:lvl>
    <w:lvl w:ilvl="1" w:tplc="A0DCA756" w:tentative="1">
      <w:start w:val="1"/>
      <w:numFmt w:val="bullet"/>
      <w:lvlText w:val="o"/>
      <w:lvlJc w:val="left"/>
      <w:pPr>
        <w:ind w:left="2149" w:hanging="360"/>
      </w:pPr>
      <w:rPr>
        <w:rFonts w:ascii="Courier New" w:hAnsi="Courier New" w:cs="Courier New" w:hint="default"/>
      </w:rPr>
    </w:lvl>
    <w:lvl w:ilvl="2" w:tplc="258CB30C" w:tentative="1">
      <w:start w:val="1"/>
      <w:numFmt w:val="bullet"/>
      <w:lvlText w:val=""/>
      <w:lvlJc w:val="left"/>
      <w:pPr>
        <w:ind w:left="2869" w:hanging="360"/>
      </w:pPr>
      <w:rPr>
        <w:rFonts w:ascii="Wingdings" w:hAnsi="Wingdings" w:hint="default"/>
      </w:rPr>
    </w:lvl>
    <w:lvl w:ilvl="3" w:tplc="4E1A9372" w:tentative="1">
      <w:start w:val="1"/>
      <w:numFmt w:val="bullet"/>
      <w:lvlText w:val=""/>
      <w:lvlJc w:val="left"/>
      <w:pPr>
        <w:ind w:left="3589" w:hanging="360"/>
      </w:pPr>
      <w:rPr>
        <w:rFonts w:ascii="Symbol" w:hAnsi="Symbol" w:hint="default"/>
      </w:rPr>
    </w:lvl>
    <w:lvl w:ilvl="4" w:tplc="26004130" w:tentative="1">
      <w:start w:val="1"/>
      <w:numFmt w:val="bullet"/>
      <w:lvlText w:val="o"/>
      <w:lvlJc w:val="left"/>
      <w:pPr>
        <w:ind w:left="4309" w:hanging="360"/>
      </w:pPr>
      <w:rPr>
        <w:rFonts w:ascii="Courier New" w:hAnsi="Courier New" w:cs="Courier New" w:hint="default"/>
      </w:rPr>
    </w:lvl>
    <w:lvl w:ilvl="5" w:tplc="30B86D9E" w:tentative="1">
      <w:start w:val="1"/>
      <w:numFmt w:val="bullet"/>
      <w:lvlText w:val=""/>
      <w:lvlJc w:val="left"/>
      <w:pPr>
        <w:ind w:left="5029" w:hanging="360"/>
      </w:pPr>
      <w:rPr>
        <w:rFonts w:ascii="Wingdings" w:hAnsi="Wingdings" w:hint="default"/>
      </w:rPr>
    </w:lvl>
    <w:lvl w:ilvl="6" w:tplc="B03C7D2A" w:tentative="1">
      <w:start w:val="1"/>
      <w:numFmt w:val="bullet"/>
      <w:lvlText w:val=""/>
      <w:lvlJc w:val="left"/>
      <w:pPr>
        <w:ind w:left="5749" w:hanging="360"/>
      </w:pPr>
      <w:rPr>
        <w:rFonts w:ascii="Symbol" w:hAnsi="Symbol" w:hint="default"/>
      </w:rPr>
    </w:lvl>
    <w:lvl w:ilvl="7" w:tplc="159C6162" w:tentative="1">
      <w:start w:val="1"/>
      <w:numFmt w:val="bullet"/>
      <w:lvlText w:val="o"/>
      <w:lvlJc w:val="left"/>
      <w:pPr>
        <w:ind w:left="6469" w:hanging="360"/>
      </w:pPr>
      <w:rPr>
        <w:rFonts w:ascii="Courier New" w:hAnsi="Courier New" w:cs="Courier New" w:hint="default"/>
      </w:rPr>
    </w:lvl>
    <w:lvl w:ilvl="8" w:tplc="615C5D4E" w:tentative="1">
      <w:start w:val="1"/>
      <w:numFmt w:val="bullet"/>
      <w:lvlText w:val=""/>
      <w:lvlJc w:val="left"/>
      <w:pPr>
        <w:ind w:left="7189" w:hanging="360"/>
      </w:pPr>
      <w:rPr>
        <w:rFonts w:ascii="Wingdings" w:hAnsi="Wingdings" w:hint="default"/>
      </w:rPr>
    </w:lvl>
  </w:abstractNum>
  <w:abstractNum w:abstractNumId="18" w15:restartNumberingAfterBreak="0">
    <w:nsid w:val="63200733"/>
    <w:multiLevelType w:val="multilevel"/>
    <w:tmpl w:val="2CAC45F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650E2067"/>
    <w:multiLevelType w:val="hybridMultilevel"/>
    <w:tmpl w:val="7D94380C"/>
    <w:lvl w:ilvl="0" w:tplc="3BD0FECE">
      <w:start w:val="1"/>
      <w:numFmt w:val="bullet"/>
      <w:lvlText w:val=""/>
      <w:lvlJc w:val="left"/>
      <w:pPr>
        <w:ind w:left="720" w:hanging="360"/>
      </w:pPr>
      <w:rPr>
        <w:rFonts w:ascii="Symbol" w:hAnsi="Symbol" w:hint="default"/>
      </w:rPr>
    </w:lvl>
    <w:lvl w:ilvl="1" w:tplc="F3B4D262" w:tentative="1">
      <w:start w:val="1"/>
      <w:numFmt w:val="bullet"/>
      <w:lvlText w:val="o"/>
      <w:lvlJc w:val="left"/>
      <w:pPr>
        <w:ind w:left="1440" w:hanging="360"/>
      </w:pPr>
      <w:rPr>
        <w:rFonts w:ascii="Courier New" w:hAnsi="Courier New" w:cs="Courier New" w:hint="default"/>
      </w:rPr>
    </w:lvl>
    <w:lvl w:ilvl="2" w:tplc="BA6C3772" w:tentative="1">
      <w:start w:val="1"/>
      <w:numFmt w:val="bullet"/>
      <w:lvlText w:val=""/>
      <w:lvlJc w:val="left"/>
      <w:pPr>
        <w:ind w:left="2160" w:hanging="360"/>
      </w:pPr>
      <w:rPr>
        <w:rFonts w:ascii="Wingdings" w:hAnsi="Wingdings" w:hint="default"/>
      </w:rPr>
    </w:lvl>
    <w:lvl w:ilvl="3" w:tplc="65086950" w:tentative="1">
      <w:start w:val="1"/>
      <w:numFmt w:val="bullet"/>
      <w:lvlText w:val=""/>
      <w:lvlJc w:val="left"/>
      <w:pPr>
        <w:ind w:left="2880" w:hanging="360"/>
      </w:pPr>
      <w:rPr>
        <w:rFonts w:ascii="Symbol" w:hAnsi="Symbol" w:hint="default"/>
      </w:rPr>
    </w:lvl>
    <w:lvl w:ilvl="4" w:tplc="98B01786" w:tentative="1">
      <w:start w:val="1"/>
      <w:numFmt w:val="bullet"/>
      <w:lvlText w:val="o"/>
      <w:lvlJc w:val="left"/>
      <w:pPr>
        <w:ind w:left="3600" w:hanging="360"/>
      </w:pPr>
      <w:rPr>
        <w:rFonts w:ascii="Courier New" w:hAnsi="Courier New" w:cs="Courier New" w:hint="default"/>
      </w:rPr>
    </w:lvl>
    <w:lvl w:ilvl="5" w:tplc="C9682ED2" w:tentative="1">
      <w:start w:val="1"/>
      <w:numFmt w:val="bullet"/>
      <w:lvlText w:val=""/>
      <w:lvlJc w:val="left"/>
      <w:pPr>
        <w:ind w:left="4320" w:hanging="360"/>
      </w:pPr>
      <w:rPr>
        <w:rFonts w:ascii="Wingdings" w:hAnsi="Wingdings" w:hint="default"/>
      </w:rPr>
    </w:lvl>
    <w:lvl w:ilvl="6" w:tplc="7494C1DC" w:tentative="1">
      <w:start w:val="1"/>
      <w:numFmt w:val="bullet"/>
      <w:lvlText w:val=""/>
      <w:lvlJc w:val="left"/>
      <w:pPr>
        <w:ind w:left="5040" w:hanging="360"/>
      </w:pPr>
      <w:rPr>
        <w:rFonts w:ascii="Symbol" w:hAnsi="Symbol" w:hint="default"/>
      </w:rPr>
    </w:lvl>
    <w:lvl w:ilvl="7" w:tplc="9B42D226" w:tentative="1">
      <w:start w:val="1"/>
      <w:numFmt w:val="bullet"/>
      <w:lvlText w:val="o"/>
      <w:lvlJc w:val="left"/>
      <w:pPr>
        <w:ind w:left="5760" w:hanging="360"/>
      </w:pPr>
      <w:rPr>
        <w:rFonts w:ascii="Courier New" w:hAnsi="Courier New" w:cs="Courier New" w:hint="default"/>
      </w:rPr>
    </w:lvl>
    <w:lvl w:ilvl="8" w:tplc="80B66042" w:tentative="1">
      <w:start w:val="1"/>
      <w:numFmt w:val="bullet"/>
      <w:lvlText w:val=""/>
      <w:lvlJc w:val="left"/>
      <w:pPr>
        <w:ind w:left="6480" w:hanging="360"/>
      </w:pPr>
      <w:rPr>
        <w:rFonts w:ascii="Wingdings" w:hAnsi="Wingdings" w:hint="default"/>
      </w:rPr>
    </w:lvl>
  </w:abstractNum>
  <w:abstractNum w:abstractNumId="20" w15:restartNumberingAfterBreak="0">
    <w:nsid w:val="66825945"/>
    <w:multiLevelType w:val="hybridMultilevel"/>
    <w:tmpl w:val="E80EE62A"/>
    <w:lvl w:ilvl="0" w:tplc="0592F6D6">
      <w:start w:val="1"/>
      <w:numFmt w:val="bullet"/>
      <w:lvlText w:val=""/>
      <w:lvlJc w:val="left"/>
      <w:pPr>
        <w:ind w:left="720" w:hanging="360"/>
      </w:pPr>
      <w:rPr>
        <w:rFonts w:ascii="Symbol" w:hAnsi="Symbol" w:hint="default"/>
      </w:rPr>
    </w:lvl>
    <w:lvl w:ilvl="1" w:tplc="3970CC5E" w:tentative="1">
      <w:start w:val="1"/>
      <w:numFmt w:val="bullet"/>
      <w:lvlText w:val="o"/>
      <w:lvlJc w:val="left"/>
      <w:pPr>
        <w:ind w:left="1440" w:hanging="360"/>
      </w:pPr>
      <w:rPr>
        <w:rFonts w:ascii="Courier New" w:hAnsi="Courier New" w:cs="Courier New" w:hint="default"/>
      </w:rPr>
    </w:lvl>
    <w:lvl w:ilvl="2" w:tplc="D35C0446" w:tentative="1">
      <w:start w:val="1"/>
      <w:numFmt w:val="bullet"/>
      <w:lvlText w:val=""/>
      <w:lvlJc w:val="left"/>
      <w:pPr>
        <w:ind w:left="2160" w:hanging="360"/>
      </w:pPr>
      <w:rPr>
        <w:rFonts w:ascii="Wingdings" w:hAnsi="Wingdings" w:hint="default"/>
      </w:rPr>
    </w:lvl>
    <w:lvl w:ilvl="3" w:tplc="5FC470D4" w:tentative="1">
      <w:start w:val="1"/>
      <w:numFmt w:val="bullet"/>
      <w:lvlText w:val=""/>
      <w:lvlJc w:val="left"/>
      <w:pPr>
        <w:ind w:left="2880" w:hanging="360"/>
      </w:pPr>
      <w:rPr>
        <w:rFonts w:ascii="Symbol" w:hAnsi="Symbol" w:hint="default"/>
      </w:rPr>
    </w:lvl>
    <w:lvl w:ilvl="4" w:tplc="0D7A6FF8" w:tentative="1">
      <w:start w:val="1"/>
      <w:numFmt w:val="bullet"/>
      <w:lvlText w:val="o"/>
      <w:lvlJc w:val="left"/>
      <w:pPr>
        <w:ind w:left="3600" w:hanging="360"/>
      </w:pPr>
      <w:rPr>
        <w:rFonts w:ascii="Courier New" w:hAnsi="Courier New" w:cs="Courier New" w:hint="default"/>
      </w:rPr>
    </w:lvl>
    <w:lvl w:ilvl="5" w:tplc="F14E0054" w:tentative="1">
      <w:start w:val="1"/>
      <w:numFmt w:val="bullet"/>
      <w:lvlText w:val=""/>
      <w:lvlJc w:val="left"/>
      <w:pPr>
        <w:ind w:left="4320" w:hanging="360"/>
      </w:pPr>
      <w:rPr>
        <w:rFonts w:ascii="Wingdings" w:hAnsi="Wingdings" w:hint="default"/>
      </w:rPr>
    </w:lvl>
    <w:lvl w:ilvl="6" w:tplc="E224341E" w:tentative="1">
      <w:start w:val="1"/>
      <w:numFmt w:val="bullet"/>
      <w:lvlText w:val=""/>
      <w:lvlJc w:val="left"/>
      <w:pPr>
        <w:ind w:left="5040" w:hanging="360"/>
      </w:pPr>
      <w:rPr>
        <w:rFonts w:ascii="Symbol" w:hAnsi="Symbol" w:hint="default"/>
      </w:rPr>
    </w:lvl>
    <w:lvl w:ilvl="7" w:tplc="CA1C27AA" w:tentative="1">
      <w:start w:val="1"/>
      <w:numFmt w:val="bullet"/>
      <w:lvlText w:val="o"/>
      <w:lvlJc w:val="left"/>
      <w:pPr>
        <w:ind w:left="5760" w:hanging="360"/>
      </w:pPr>
      <w:rPr>
        <w:rFonts w:ascii="Courier New" w:hAnsi="Courier New" w:cs="Courier New" w:hint="default"/>
      </w:rPr>
    </w:lvl>
    <w:lvl w:ilvl="8" w:tplc="0D246BDC" w:tentative="1">
      <w:start w:val="1"/>
      <w:numFmt w:val="bullet"/>
      <w:lvlText w:val=""/>
      <w:lvlJc w:val="left"/>
      <w:pPr>
        <w:ind w:left="6480" w:hanging="360"/>
      </w:pPr>
      <w:rPr>
        <w:rFonts w:ascii="Wingdings" w:hAnsi="Wingdings" w:hint="default"/>
      </w:rPr>
    </w:lvl>
  </w:abstractNum>
  <w:abstractNum w:abstractNumId="21" w15:restartNumberingAfterBreak="0">
    <w:nsid w:val="682E0571"/>
    <w:multiLevelType w:val="hybridMultilevel"/>
    <w:tmpl w:val="3FB2F578"/>
    <w:lvl w:ilvl="0" w:tplc="70807594">
      <w:start w:val="1"/>
      <w:numFmt w:val="bullet"/>
      <w:lvlText w:val=""/>
      <w:lvlJc w:val="left"/>
      <w:pPr>
        <w:ind w:left="720" w:hanging="360"/>
      </w:pPr>
      <w:rPr>
        <w:rFonts w:ascii="Symbol" w:hAnsi="Symbol" w:hint="default"/>
      </w:rPr>
    </w:lvl>
    <w:lvl w:ilvl="1" w:tplc="4DA2CA6E" w:tentative="1">
      <w:start w:val="1"/>
      <w:numFmt w:val="bullet"/>
      <w:lvlText w:val="o"/>
      <w:lvlJc w:val="left"/>
      <w:pPr>
        <w:ind w:left="1440" w:hanging="360"/>
      </w:pPr>
      <w:rPr>
        <w:rFonts w:ascii="Courier New" w:hAnsi="Courier New" w:cs="Courier New" w:hint="default"/>
      </w:rPr>
    </w:lvl>
    <w:lvl w:ilvl="2" w:tplc="5670A114" w:tentative="1">
      <w:start w:val="1"/>
      <w:numFmt w:val="bullet"/>
      <w:lvlText w:val=""/>
      <w:lvlJc w:val="left"/>
      <w:pPr>
        <w:ind w:left="2160" w:hanging="360"/>
      </w:pPr>
      <w:rPr>
        <w:rFonts w:ascii="Wingdings" w:hAnsi="Wingdings" w:hint="default"/>
      </w:rPr>
    </w:lvl>
    <w:lvl w:ilvl="3" w:tplc="EFC63BA2" w:tentative="1">
      <w:start w:val="1"/>
      <w:numFmt w:val="bullet"/>
      <w:lvlText w:val=""/>
      <w:lvlJc w:val="left"/>
      <w:pPr>
        <w:ind w:left="2880" w:hanging="360"/>
      </w:pPr>
      <w:rPr>
        <w:rFonts w:ascii="Symbol" w:hAnsi="Symbol" w:hint="default"/>
      </w:rPr>
    </w:lvl>
    <w:lvl w:ilvl="4" w:tplc="133655D0" w:tentative="1">
      <w:start w:val="1"/>
      <w:numFmt w:val="bullet"/>
      <w:lvlText w:val="o"/>
      <w:lvlJc w:val="left"/>
      <w:pPr>
        <w:ind w:left="3600" w:hanging="360"/>
      </w:pPr>
      <w:rPr>
        <w:rFonts w:ascii="Courier New" w:hAnsi="Courier New" w:cs="Courier New" w:hint="default"/>
      </w:rPr>
    </w:lvl>
    <w:lvl w:ilvl="5" w:tplc="7B944412" w:tentative="1">
      <w:start w:val="1"/>
      <w:numFmt w:val="bullet"/>
      <w:lvlText w:val=""/>
      <w:lvlJc w:val="left"/>
      <w:pPr>
        <w:ind w:left="4320" w:hanging="360"/>
      </w:pPr>
      <w:rPr>
        <w:rFonts w:ascii="Wingdings" w:hAnsi="Wingdings" w:hint="default"/>
      </w:rPr>
    </w:lvl>
    <w:lvl w:ilvl="6" w:tplc="B9CC4AF4" w:tentative="1">
      <w:start w:val="1"/>
      <w:numFmt w:val="bullet"/>
      <w:lvlText w:val=""/>
      <w:lvlJc w:val="left"/>
      <w:pPr>
        <w:ind w:left="5040" w:hanging="360"/>
      </w:pPr>
      <w:rPr>
        <w:rFonts w:ascii="Symbol" w:hAnsi="Symbol" w:hint="default"/>
      </w:rPr>
    </w:lvl>
    <w:lvl w:ilvl="7" w:tplc="F192281A" w:tentative="1">
      <w:start w:val="1"/>
      <w:numFmt w:val="bullet"/>
      <w:lvlText w:val="o"/>
      <w:lvlJc w:val="left"/>
      <w:pPr>
        <w:ind w:left="5760" w:hanging="360"/>
      </w:pPr>
      <w:rPr>
        <w:rFonts w:ascii="Courier New" w:hAnsi="Courier New" w:cs="Courier New" w:hint="default"/>
      </w:rPr>
    </w:lvl>
    <w:lvl w:ilvl="8" w:tplc="B046100E" w:tentative="1">
      <w:start w:val="1"/>
      <w:numFmt w:val="bullet"/>
      <w:lvlText w:val=""/>
      <w:lvlJc w:val="left"/>
      <w:pPr>
        <w:ind w:left="6480" w:hanging="360"/>
      </w:pPr>
      <w:rPr>
        <w:rFonts w:ascii="Wingdings" w:hAnsi="Wingdings" w:hint="default"/>
      </w:rPr>
    </w:lvl>
  </w:abstractNum>
  <w:abstractNum w:abstractNumId="22" w15:restartNumberingAfterBreak="0">
    <w:nsid w:val="6CD16673"/>
    <w:multiLevelType w:val="hybridMultilevel"/>
    <w:tmpl w:val="3F76F5FE"/>
    <w:lvl w:ilvl="0" w:tplc="91444A1A">
      <w:start w:val="1"/>
      <w:numFmt w:val="bullet"/>
      <w:lvlText w:val=""/>
      <w:lvlJc w:val="left"/>
      <w:pPr>
        <w:ind w:left="720" w:hanging="360"/>
      </w:pPr>
      <w:rPr>
        <w:rFonts w:ascii="Symbol" w:hAnsi="Symbol" w:hint="default"/>
      </w:rPr>
    </w:lvl>
    <w:lvl w:ilvl="1" w:tplc="22AC68A2" w:tentative="1">
      <w:start w:val="1"/>
      <w:numFmt w:val="bullet"/>
      <w:lvlText w:val="o"/>
      <w:lvlJc w:val="left"/>
      <w:pPr>
        <w:ind w:left="1440" w:hanging="360"/>
      </w:pPr>
      <w:rPr>
        <w:rFonts w:ascii="Courier New" w:hAnsi="Courier New" w:cs="Courier New" w:hint="default"/>
      </w:rPr>
    </w:lvl>
    <w:lvl w:ilvl="2" w:tplc="6D64F400" w:tentative="1">
      <w:start w:val="1"/>
      <w:numFmt w:val="bullet"/>
      <w:lvlText w:val=""/>
      <w:lvlJc w:val="left"/>
      <w:pPr>
        <w:ind w:left="2160" w:hanging="360"/>
      </w:pPr>
      <w:rPr>
        <w:rFonts w:ascii="Wingdings" w:hAnsi="Wingdings" w:hint="default"/>
      </w:rPr>
    </w:lvl>
    <w:lvl w:ilvl="3" w:tplc="6F92A61C" w:tentative="1">
      <w:start w:val="1"/>
      <w:numFmt w:val="bullet"/>
      <w:lvlText w:val=""/>
      <w:lvlJc w:val="left"/>
      <w:pPr>
        <w:ind w:left="2880" w:hanging="360"/>
      </w:pPr>
      <w:rPr>
        <w:rFonts w:ascii="Symbol" w:hAnsi="Symbol" w:hint="default"/>
      </w:rPr>
    </w:lvl>
    <w:lvl w:ilvl="4" w:tplc="17D49D52" w:tentative="1">
      <w:start w:val="1"/>
      <w:numFmt w:val="bullet"/>
      <w:lvlText w:val="o"/>
      <w:lvlJc w:val="left"/>
      <w:pPr>
        <w:ind w:left="3600" w:hanging="360"/>
      </w:pPr>
      <w:rPr>
        <w:rFonts w:ascii="Courier New" w:hAnsi="Courier New" w:cs="Courier New" w:hint="default"/>
      </w:rPr>
    </w:lvl>
    <w:lvl w:ilvl="5" w:tplc="F2F2D786" w:tentative="1">
      <w:start w:val="1"/>
      <w:numFmt w:val="bullet"/>
      <w:lvlText w:val=""/>
      <w:lvlJc w:val="left"/>
      <w:pPr>
        <w:ind w:left="4320" w:hanging="360"/>
      </w:pPr>
      <w:rPr>
        <w:rFonts w:ascii="Wingdings" w:hAnsi="Wingdings" w:hint="default"/>
      </w:rPr>
    </w:lvl>
    <w:lvl w:ilvl="6" w:tplc="C5E6A6FE" w:tentative="1">
      <w:start w:val="1"/>
      <w:numFmt w:val="bullet"/>
      <w:lvlText w:val=""/>
      <w:lvlJc w:val="left"/>
      <w:pPr>
        <w:ind w:left="5040" w:hanging="360"/>
      </w:pPr>
      <w:rPr>
        <w:rFonts w:ascii="Symbol" w:hAnsi="Symbol" w:hint="default"/>
      </w:rPr>
    </w:lvl>
    <w:lvl w:ilvl="7" w:tplc="0EC88D00" w:tentative="1">
      <w:start w:val="1"/>
      <w:numFmt w:val="bullet"/>
      <w:lvlText w:val="o"/>
      <w:lvlJc w:val="left"/>
      <w:pPr>
        <w:ind w:left="5760" w:hanging="360"/>
      </w:pPr>
      <w:rPr>
        <w:rFonts w:ascii="Courier New" w:hAnsi="Courier New" w:cs="Courier New" w:hint="default"/>
      </w:rPr>
    </w:lvl>
    <w:lvl w:ilvl="8" w:tplc="DFB82FBC" w:tentative="1">
      <w:start w:val="1"/>
      <w:numFmt w:val="bullet"/>
      <w:lvlText w:val=""/>
      <w:lvlJc w:val="left"/>
      <w:pPr>
        <w:ind w:left="6480" w:hanging="360"/>
      </w:pPr>
      <w:rPr>
        <w:rFonts w:ascii="Wingdings" w:hAnsi="Wingdings" w:hint="default"/>
      </w:rPr>
    </w:lvl>
  </w:abstractNum>
  <w:abstractNum w:abstractNumId="23" w15:restartNumberingAfterBreak="0">
    <w:nsid w:val="75C31127"/>
    <w:multiLevelType w:val="hybridMultilevel"/>
    <w:tmpl w:val="82928682"/>
    <w:lvl w:ilvl="0" w:tplc="301277BE">
      <w:start w:val="1"/>
      <w:numFmt w:val="bullet"/>
      <w:lvlText w:val=""/>
      <w:lvlJc w:val="left"/>
      <w:pPr>
        <w:ind w:left="720" w:hanging="360"/>
      </w:pPr>
      <w:rPr>
        <w:rFonts w:ascii="Symbol" w:hAnsi="Symbol" w:hint="default"/>
      </w:rPr>
    </w:lvl>
    <w:lvl w:ilvl="1" w:tplc="5546EBFC">
      <w:start w:val="1"/>
      <w:numFmt w:val="bullet"/>
      <w:lvlText w:val="o"/>
      <w:lvlJc w:val="left"/>
      <w:pPr>
        <w:ind w:left="1440" w:hanging="360"/>
      </w:pPr>
      <w:rPr>
        <w:rFonts w:ascii="Courier New" w:hAnsi="Courier New" w:cs="Courier New" w:hint="default"/>
      </w:rPr>
    </w:lvl>
    <w:lvl w:ilvl="2" w:tplc="E814EE1C">
      <w:start w:val="1"/>
      <w:numFmt w:val="bullet"/>
      <w:lvlText w:val=""/>
      <w:lvlJc w:val="left"/>
      <w:pPr>
        <w:ind w:left="2160" w:hanging="360"/>
      </w:pPr>
      <w:rPr>
        <w:rFonts w:ascii="Wingdings" w:hAnsi="Wingdings" w:hint="default"/>
      </w:rPr>
    </w:lvl>
    <w:lvl w:ilvl="3" w:tplc="5390223A">
      <w:start w:val="1"/>
      <w:numFmt w:val="bullet"/>
      <w:lvlText w:val=""/>
      <w:lvlJc w:val="left"/>
      <w:pPr>
        <w:ind w:left="2880" w:hanging="360"/>
      </w:pPr>
      <w:rPr>
        <w:rFonts w:ascii="Symbol" w:hAnsi="Symbol" w:hint="default"/>
      </w:rPr>
    </w:lvl>
    <w:lvl w:ilvl="4" w:tplc="4C7A5AD8">
      <w:start w:val="1"/>
      <w:numFmt w:val="bullet"/>
      <w:lvlText w:val="o"/>
      <w:lvlJc w:val="left"/>
      <w:pPr>
        <w:ind w:left="3600" w:hanging="360"/>
      </w:pPr>
      <w:rPr>
        <w:rFonts w:ascii="Courier New" w:hAnsi="Courier New" w:cs="Courier New" w:hint="default"/>
      </w:rPr>
    </w:lvl>
    <w:lvl w:ilvl="5" w:tplc="81E6D520">
      <w:start w:val="1"/>
      <w:numFmt w:val="bullet"/>
      <w:lvlText w:val=""/>
      <w:lvlJc w:val="left"/>
      <w:pPr>
        <w:ind w:left="4320" w:hanging="360"/>
      </w:pPr>
      <w:rPr>
        <w:rFonts w:ascii="Wingdings" w:hAnsi="Wingdings" w:hint="default"/>
      </w:rPr>
    </w:lvl>
    <w:lvl w:ilvl="6" w:tplc="DDC8F6E4">
      <w:start w:val="1"/>
      <w:numFmt w:val="bullet"/>
      <w:lvlText w:val=""/>
      <w:lvlJc w:val="left"/>
      <w:pPr>
        <w:ind w:left="5040" w:hanging="360"/>
      </w:pPr>
      <w:rPr>
        <w:rFonts w:ascii="Symbol" w:hAnsi="Symbol" w:hint="default"/>
      </w:rPr>
    </w:lvl>
    <w:lvl w:ilvl="7" w:tplc="1CF64924">
      <w:start w:val="1"/>
      <w:numFmt w:val="bullet"/>
      <w:lvlText w:val="o"/>
      <w:lvlJc w:val="left"/>
      <w:pPr>
        <w:ind w:left="5760" w:hanging="360"/>
      </w:pPr>
      <w:rPr>
        <w:rFonts w:ascii="Courier New" w:hAnsi="Courier New" w:cs="Courier New" w:hint="default"/>
      </w:rPr>
    </w:lvl>
    <w:lvl w:ilvl="8" w:tplc="4B986AA8">
      <w:start w:val="1"/>
      <w:numFmt w:val="bullet"/>
      <w:lvlText w:val=""/>
      <w:lvlJc w:val="left"/>
      <w:pPr>
        <w:ind w:left="6480" w:hanging="360"/>
      </w:pPr>
      <w:rPr>
        <w:rFonts w:ascii="Wingdings" w:hAnsi="Wingdings" w:hint="default"/>
      </w:rPr>
    </w:lvl>
  </w:abstractNum>
  <w:abstractNum w:abstractNumId="24" w15:restartNumberingAfterBreak="0">
    <w:nsid w:val="75DD0325"/>
    <w:multiLevelType w:val="hybridMultilevel"/>
    <w:tmpl w:val="8FC64BE0"/>
    <w:lvl w:ilvl="0" w:tplc="85BACBFE">
      <w:start w:val="1"/>
      <w:numFmt w:val="decimal"/>
      <w:lvlText w:val="%1."/>
      <w:lvlJc w:val="left"/>
      <w:pPr>
        <w:ind w:left="720" w:hanging="360"/>
      </w:pPr>
    </w:lvl>
    <w:lvl w:ilvl="1" w:tplc="507C00BC" w:tentative="1">
      <w:start w:val="1"/>
      <w:numFmt w:val="lowerLetter"/>
      <w:lvlText w:val="%2."/>
      <w:lvlJc w:val="left"/>
      <w:pPr>
        <w:ind w:left="1440" w:hanging="360"/>
      </w:pPr>
    </w:lvl>
    <w:lvl w:ilvl="2" w:tplc="960CEEBC" w:tentative="1">
      <w:start w:val="1"/>
      <w:numFmt w:val="lowerRoman"/>
      <w:lvlText w:val="%3."/>
      <w:lvlJc w:val="right"/>
      <w:pPr>
        <w:ind w:left="2160" w:hanging="180"/>
      </w:pPr>
    </w:lvl>
    <w:lvl w:ilvl="3" w:tplc="21705056" w:tentative="1">
      <w:start w:val="1"/>
      <w:numFmt w:val="decimal"/>
      <w:lvlText w:val="%4."/>
      <w:lvlJc w:val="left"/>
      <w:pPr>
        <w:ind w:left="2880" w:hanging="360"/>
      </w:pPr>
    </w:lvl>
    <w:lvl w:ilvl="4" w:tplc="502E78E6" w:tentative="1">
      <w:start w:val="1"/>
      <w:numFmt w:val="lowerLetter"/>
      <w:lvlText w:val="%5."/>
      <w:lvlJc w:val="left"/>
      <w:pPr>
        <w:ind w:left="3600" w:hanging="360"/>
      </w:pPr>
    </w:lvl>
    <w:lvl w:ilvl="5" w:tplc="70806722" w:tentative="1">
      <w:start w:val="1"/>
      <w:numFmt w:val="lowerRoman"/>
      <w:lvlText w:val="%6."/>
      <w:lvlJc w:val="right"/>
      <w:pPr>
        <w:ind w:left="4320" w:hanging="180"/>
      </w:pPr>
    </w:lvl>
    <w:lvl w:ilvl="6" w:tplc="F4BEBBCE" w:tentative="1">
      <w:start w:val="1"/>
      <w:numFmt w:val="decimal"/>
      <w:lvlText w:val="%7."/>
      <w:lvlJc w:val="left"/>
      <w:pPr>
        <w:ind w:left="5040" w:hanging="360"/>
      </w:pPr>
    </w:lvl>
    <w:lvl w:ilvl="7" w:tplc="41A84260" w:tentative="1">
      <w:start w:val="1"/>
      <w:numFmt w:val="lowerLetter"/>
      <w:lvlText w:val="%8."/>
      <w:lvlJc w:val="left"/>
      <w:pPr>
        <w:ind w:left="5760" w:hanging="360"/>
      </w:pPr>
    </w:lvl>
    <w:lvl w:ilvl="8" w:tplc="BA12E594"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9"/>
  </w:num>
  <w:num w:numId="5">
    <w:abstractNumId w:val="24"/>
  </w:num>
  <w:num w:numId="6">
    <w:abstractNumId w:val="6"/>
  </w:num>
  <w:num w:numId="7">
    <w:abstractNumId w:val="8"/>
  </w:num>
  <w:num w:numId="8">
    <w:abstractNumId w:val="16"/>
  </w:num>
  <w:num w:numId="9">
    <w:abstractNumId w:val="10"/>
  </w:num>
  <w:num w:numId="10">
    <w:abstractNumId w:val="17"/>
  </w:num>
  <w:num w:numId="11">
    <w:abstractNumId w:val="12"/>
  </w:num>
  <w:num w:numId="12">
    <w:abstractNumId w:val="22"/>
  </w:num>
  <w:num w:numId="13">
    <w:abstractNumId w:val="21"/>
  </w:num>
  <w:num w:numId="14">
    <w:abstractNumId w:val="23"/>
  </w:num>
  <w:num w:numId="15">
    <w:abstractNumId w:val="18"/>
  </w:num>
  <w:num w:numId="16">
    <w:abstractNumId w:val="11"/>
  </w:num>
  <w:num w:numId="17">
    <w:abstractNumId w:val="15"/>
  </w:num>
  <w:num w:numId="18">
    <w:abstractNumId w:val="14"/>
  </w:num>
  <w:num w:numId="19">
    <w:abstractNumId w:val="0"/>
  </w:num>
  <w:num w:numId="20">
    <w:abstractNumId w:val="1"/>
  </w:num>
  <w:num w:numId="21">
    <w:abstractNumId w:val="4"/>
  </w:num>
  <w:num w:numId="22">
    <w:abstractNumId w:val="4"/>
  </w:num>
  <w:num w:numId="23">
    <w:abstractNumId w:val="4"/>
  </w:num>
  <w:num w:numId="24">
    <w:abstractNumId w:val="9"/>
  </w:num>
  <w:num w:numId="25">
    <w:abstractNumId w:val="20"/>
  </w:num>
  <w:num w:numId="26">
    <w:abstractNumId w:val="2"/>
  </w:num>
  <w:num w:numId="27">
    <w:abstractNumId w:val="7"/>
  </w:num>
  <w:num w:numId="28">
    <w:abstractNumId w:val="13"/>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C0"/>
    <w:rsid w:val="00103315"/>
    <w:rsid w:val="00302DFD"/>
    <w:rsid w:val="00801FC0"/>
    <w:rsid w:val="00B3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8A72-4614-41E5-A193-3C3960FB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fossilfree.org/uk/fuellingthefi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unpri.org/signatory-director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calpensionspartnership.org.uk/what-we-do/investment-managemen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C0C0-7CEC-4BC4-862A-3AB1FD87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4</cp:revision>
  <cp:lastPrinted>2016-04-13T08:43:00Z</cp:lastPrinted>
  <dcterms:created xsi:type="dcterms:W3CDTF">2017-11-20T09:30:00Z</dcterms:created>
  <dcterms:modified xsi:type="dcterms:W3CDTF">2017-11-21T15:46:00Z</dcterms:modified>
</cp:coreProperties>
</file>